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37861609" w:rsidR="00E17690" w:rsidRPr="00095353" w:rsidRDefault="00884F4E"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June</w:t>
      </w:r>
      <w:r w:rsidR="00E17690" w:rsidRPr="00095353">
        <w:rPr>
          <w:rStyle w:val="01GraphikboldICB"/>
          <w:rFonts w:asciiTheme="minorHAnsi" w:hAnsiTheme="minorHAnsi" w:cstheme="minorHAnsi"/>
          <w:w w:val="101"/>
          <w:sz w:val="22"/>
          <w:szCs w:val="22"/>
        </w:rPr>
        <w:t xml:space="preserve"> 2019</w:t>
      </w:r>
    </w:p>
    <w:p w14:paraId="73590021" w14:textId="526E8A40" w:rsidR="00536E0E" w:rsidRPr="00095353" w:rsidRDefault="004C5086"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Portfolio Management by Jim Reber</w:t>
      </w:r>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0AD3E04A" w14:textId="6D55FB62" w:rsidR="004C5086" w:rsidRPr="00095353" w:rsidRDefault="00884F4E" w:rsidP="004C5086">
      <w:pPr>
        <w:pStyle w:val="01BodyNoIndentGeorgiaJustify"/>
        <w:rPr>
          <w:rFonts w:asciiTheme="minorHAnsi" w:hAnsiTheme="minorHAnsi" w:cstheme="minorHAnsi"/>
          <w:b/>
          <w:bCs/>
          <w:w w:val="101"/>
          <w:sz w:val="22"/>
          <w:szCs w:val="22"/>
        </w:rPr>
      </w:pPr>
      <w:r>
        <w:rPr>
          <w:rFonts w:asciiTheme="minorHAnsi" w:hAnsiTheme="minorHAnsi" w:cstheme="minorHAnsi"/>
          <w:b/>
          <w:bCs/>
          <w:w w:val="101"/>
          <w:sz w:val="22"/>
          <w:szCs w:val="22"/>
        </w:rPr>
        <w:t>Alternate tracts</w:t>
      </w:r>
    </w:p>
    <w:p w14:paraId="2ABB6DE3"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p>
    <w:p w14:paraId="70F7CF8B" w14:textId="77777777" w:rsidR="00884F4E" w:rsidRPr="00884F4E" w:rsidRDefault="00884F4E" w:rsidP="00884F4E">
      <w:pPr>
        <w:rPr>
          <w:rFonts w:cstheme="minorHAnsi"/>
          <w:color w:val="000000" w:themeColor="text1"/>
          <w:sz w:val="18"/>
          <w:szCs w:val="18"/>
        </w:rPr>
      </w:pPr>
      <w:r w:rsidRPr="00884F4E">
        <w:rPr>
          <w:rFonts w:cstheme="minorHAnsi"/>
          <w:color w:val="000000" w:themeColor="text1"/>
          <w:sz w:val="18"/>
          <w:szCs w:val="18"/>
        </w:rPr>
        <w:t xml:space="preserve">A </w:t>
      </w:r>
      <w:proofErr w:type="gramStart"/>
      <w:r w:rsidRPr="00884F4E">
        <w:rPr>
          <w:rFonts w:cstheme="minorHAnsi"/>
          <w:color w:val="000000" w:themeColor="text1"/>
          <w:sz w:val="18"/>
          <w:szCs w:val="18"/>
        </w:rPr>
        <w:t>flat yield curve rewards bond buyers</w:t>
      </w:r>
      <w:proofErr w:type="gramEnd"/>
      <w:r w:rsidRPr="00884F4E">
        <w:rPr>
          <w:rFonts w:cstheme="minorHAnsi"/>
          <w:color w:val="000000" w:themeColor="text1"/>
          <w:sz w:val="18"/>
          <w:szCs w:val="18"/>
        </w:rPr>
        <w:t xml:space="preserve"> who comparison shop.</w:t>
      </w:r>
    </w:p>
    <w:p w14:paraId="3B1EDF17" w14:textId="77777777" w:rsidR="004C5086" w:rsidRPr="00095353" w:rsidRDefault="004C5086" w:rsidP="004C5086">
      <w:pPr>
        <w:rPr>
          <w:rFonts w:cstheme="minorHAnsi"/>
          <w:b/>
          <w:bCs/>
          <w:color w:val="000000"/>
          <w:w w:val="101"/>
          <w:sz w:val="22"/>
          <w:szCs w:val="22"/>
        </w:rPr>
      </w:pPr>
    </w:p>
    <w:p w14:paraId="2BE1D20A" w14:textId="5CC1F6C4" w:rsidR="00884F4E" w:rsidRPr="00884F4E" w:rsidRDefault="00884F4E" w:rsidP="00884F4E">
      <w:pPr>
        <w:rPr>
          <w:rFonts w:cstheme="minorHAnsi"/>
          <w:color w:val="000000"/>
          <w:sz w:val="18"/>
          <w:szCs w:val="18"/>
        </w:rPr>
      </w:pPr>
      <w:r w:rsidRPr="00884F4E">
        <w:rPr>
          <w:rFonts w:cstheme="minorHAnsi"/>
          <w:b/>
          <w:bCs/>
          <w:color w:val="000000"/>
          <w:sz w:val="18"/>
          <w:szCs w:val="18"/>
        </w:rPr>
        <w:t xml:space="preserve">Let’s look back for a moment </w:t>
      </w:r>
      <w:r w:rsidRPr="00884F4E">
        <w:rPr>
          <w:rFonts w:cstheme="minorHAnsi"/>
          <w:color w:val="000000"/>
          <w:sz w:val="18"/>
          <w:szCs w:val="18"/>
        </w:rPr>
        <w:t>to June 30, 2006. The Fed bumped up the rate on overnight borrowings one more time, to 5.25 percent, with its 17th and final hike of the cycle. You want flat? I’ll show you flat:</w:t>
      </w:r>
    </w:p>
    <w:p w14:paraId="11438C3F" w14:textId="77777777" w:rsidR="00884F4E" w:rsidRPr="00884F4E" w:rsidRDefault="00884F4E" w:rsidP="00884F4E">
      <w:pPr>
        <w:rPr>
          <w:rFonts w:cstheme="minorHAnsi"/>
          <w:color w:val="000000"/>
          <w:sz w:val="18"/>
          <w:szCs w:val="18"/>
        </w:rPr>
      </w:pPr>
    </w:p>
    <w:p w14:paraId="676812B8" w14:textId="77777777" w:rsidR="00884F4E" w:rsidRPr="00884F4E" w:rsidRDefault="00884F4E" w:rsidP="00884F4E">
      <w:pPr>
        <w:rPr>
          <w:rFonts w:cstheme="minorHAnsi"/>
          <w:color w:val="000000"/>
          <w:sz w:val="18"/>
          <w:szCs w:val="18"/>
        </w:rPr>
      </w:pPr>
      <w:r w:rsidRPr="00884F4E">
        <w:rPr>
          <w:rFonts w:cstheme="minorHAnsi"/>
          <w:color w:val="000000"/>
          <w:sz w:val="18"/>
          <w:szCs w:val="18"/>
        </w:rPr>
        <w:t>Fed funds</w:t>
      </w:r>
      <w:r w:rsidRPr="00884F4E">
        <w:rPr>
          <w:rFonts w:cstheme="minorHAnsi"/>
          <w:color w:val="000000"/>
          <w:sz w:val="18"/>
          <w:szCs w:val="18"/>
        </w:rPr>
        <w:tab/>
        <w:t>5.25%</w:t>
      </w:r>
    </w:p>
    <w:p w14:paraId="1EA301C6" w14:textId="77777777" w:rsidR="00884F4E" w:rsidRPr="00884F4E" w:rsidRDefault="00884F4E" w:rsidP="00884F4E">
      <w:pPr>
        <w:rPr>
          <w:rFonts w:cstheme="minorHAnsi"/>
          <w:color w:val="000000"/>
          <w:sz w:val="18"/>
          <w:szCs w:val="18"/>
        </w:rPr>
      </w:pPr>
      <w:r w:rsidRPr="00884F4E">
        <w:rPr>
          <w:rFonts w:cstheme="minorHAnsi"/>
          <w:color w:val="000000"/>
          <w:sz w:val="18"/>
          <w:szCs w:val="18"/>
        </w:rPr>
        <w:t>One-year T-bill</w:t>
      </w:r>
      <w:r w:rsidRPr="00884F4E">
        <w:rPr>
          <w:rFonts w:cstheme="minorHAnsi"/>
          <w:color w:val="000000"/>
          <w:sz w:val="18"/>
          <w:szCs w:val="18"/>
        </w:rPr>
        <w:tab/>
        <w:t>5.19%</w:t>
      </w:r>
    </w:p>
    <w:p w14:paraId="6E87D61A" w14:textId="77777777" w:rsidR="00884F4E" w:rsidRPr="00884F4E" w:rsidRDefault="00884F4E" w:rsidP="00884F4E">
      <w:pPr>
        <w:rPr>
          <w:rFonts w:cstheme="minorHAnsi"/>
          <w:color w:val="000000"/>
          <w:sz w:val="18"/>
          <w:szCs w:val="18"/>
        </w:rPr>
      </w:pPr>
      <w:r w:rsidRPr="00884F4E">
        <w:rPr>
          <w:rFonts w:cstheme="minorHAnsi"/>
          <w:color w:val="000000"/>
          <w:sz w:val="18"/>
          <w:szCs w:val="18"/>
        </w:rPr>
        <w:t>Two-year note</w:t>
      </w:r>
      <w:r w:rsidRPr="00884F4E">
        <w:rPr>
          <w:rFonts w:cstheme="minorHAnsi"/>
          <w:color w:val="000000"/>
          <w:sz w:val="18"/>
          <w:szCs w:val="18"/>
        </w:rPr>
        <w:tab/>
        <w:t>5.15%</w:t>
      </w:r>
    </w:p>
    <w:p w14:paraId="6C2DA718" w14:textId="77777777" w:rsidR="00884F4E" w:rsidRPr="00884F4E" w:rsidRDefault="00884F4E" w:rsidP="00884F4E">
      <w:pPr>
        <w:rPr>
          <w:rFonts w:cstheme="minorHAnsi"/>
          <w:color w:val="000000"/>
          <w:sz w:val="18"/>
          <w:szCs w:val="18"/>
        </w:rPr>
      </w:pPr>
      <w:r w:rsidRPr="00884F4E">
        <w:rPr>
          <w:rFonts w:cstheme="minorHAnsi"/>
          <w:color w:val="000000"/>
          <w:sz w:val="18"/>
          <w:szCs w:val="18"/>
        </w:rPr>
        <w:t>Five-year note</w:t>
      </w:r>
      <w:r w:rsidRPr="00884F4E">
        <w:rPr>
          <w:rFonts w:cstheme="minorHAnsi"/>
          <w:color w:val="000000"/>
          <w:sz w:val="18"/>
          <w:szCs w:val="18"/>
        </w:rPr>
        <w:tab/>
        <w:t>5.09%</w:t>
      </w:r>
    </w:p>
    <w:p w14:paraId="2E70231B" w14:textId="18249971" w:rsidR="00884F4E" w:rsidRPr="00884F4E" w:rsidRDefault="00884F4E" w:rsidP="00884F4E">
      <w:pPr>
        <w:rPr>
          <w:rFonts w:cstheme="minorHAnsi"/>
          <w:color w:val="000000"/>
          <w:sz w:val="18"/>
          <w:szCs w:val="18"/>
        </w:rPr>
      </w:pPr>
      <w:r w:rsidRPr="00884F4E">
        <w:rPr>
          <w:rFonts w:cstheme="minorHAnsi"/>
          <w:color w:val="000000"/>
          <w:sz w:val="18"/>
          <w:szCs w:val="18"/>
        </w:rPr>
        <w:t>10-year note</w:t>
      </w:r>
      <w:r w:rsidRPr="00884F4E">
        <w:rPr>
          <w:rFonts w:cstheme="minorHAnsi"/>
          <w:color w:val="000000"/>
          <w:sz w:val="18"/>
          <w:szCs w:val="18"/>
        </w:rPr>
        <w:tab/>
        <w:t>5.14%</w:t>
      </w:r>
    </w:p>
    <w:p w14:paraId="4F1F4E87" w14:textId="77777777" w:rsidR="00884F4E" w:rsidRPr="00884F4E" w:rsidRDefault="00884F4E" w:rsidP="00884F4E">
      <w:pPr>
        <w:rPr>
          <w:rFonts w:cstheme="minorHAnsi"/>
          <w:color w:val="000000"/>
          <w:sz w:val="18"/>
          <w:szCs w:val="18"/>
        </w:rPr>
      </w:pPr>
    </w:p>
    <w:p w14:paraId="1EFF7F21" w14:textId="77777777" w:rsidR="00884F4E" w:rsidRPr="00884F4E" w:rsidRDefault="00884F4E" w:rsidP="00884F4E">
      <w:pPr>
        <w:ind w:firstLine="720"/>
        <w:rPr>
          <w:rFonts w:cstheme="minorHAnsi"/>
          <w:color w:val="000000"/>
          <w:sz w:val="18"/>
          <w:szCs w:val="18"/>
        </w:rPr>
      </w:pPr>
      <w:r w:rsidRPr="00884F4E">
        <w:rPr>
          <w:rFonts w:cstheme="minorHAnsi"/>
          <w:color w:val="000000"/>
          <w:sz w:val="18"/>
          <w:szCs w:val="18"/>
        </w:rPr>
        <w:t>How many buyers would have preferred a 10-year instrument over, say, a two-year note with little or no immediate benefit? I recall it was less than most, as they say.</w:t>
      </w:r>
    </w:p>
    <w:p w14:paraId="4ABCD0EE" w14:textId="77777777" w:rsidR="00884F4E" w:rsidRPr="00884F4E" w:rsidRDefault="00884F4E" w:rsidP="00884F4E">
      <w:pPr>
        <w:rPr>
          <w:rFonts w:cstheme="minorHAnsi"/>
          <w:color w:val="000000"/>
          <w:sz w:val="18"/>
          <w:szCs w:val="18"/>
        </w:rPr>
      </w:pPr>
      <w:r w:rsidRPr="00884F4E">
        <w:rPr>
          <w:rFonts w:cstheme="minorHAnsi"/>
          <w:color w:val="000000"/>
          <w:sz w:val="18"/>
          <w:szCs w:val="18"/>
        </w:rPr>
        <w:t>And who could blame them, based on how risk-averse investors are wired to be? Certainly, community bankers understand that risk belongs in the loan portfolio. They know the primary purpose of the bond inventory is safety, followed by liquidity and cash flow. It is counterintuitive to buy a longer versus a shorter bond and not be rewarded with a higher return.</w:t>
      </w:r>
    </w:p>
    <w:p w14:paraId="48A8204A" w14:textId="507FCD4E" w:rsidR="00884F4E" w:rsidRPr="00884F4E" w:rsidRDefault="00884F4E" w:rsidP="00884F4E">
      <w:pPr>
        <w:ind w:firstLine="720"/>
        <w:rPr>
          <w:rFonts w:cstheme="minorHAnsi"/>
          <w:color w:val="000000"/>
          <w:sz w:val="18"/>
          <w:szCs w:val="18"/>
        </w:rPr>
      </w:pPr>
      <w:r w:rsidRPr="00884F4E">
        <w:rPr>
          <w:rFonts w:cstheme="minorHAnsi"/>
          <w:color w:val="000000"/>
          <w:sz w:val="18"/>
          <w:szCs w:val="18"/>
        </w:rPr>
        <w:t xml:space="preserve">It’s well known by now that those brave soldiers who elected to go long in 2006–07 were happy they had done so by the end of 2008. Fed funds had plummeted to nearly zero by </w:t>
      </w:r>
      <w:proofErr w:type="gramStart"/>
      <w:r w:rsidRPr="00884F4E">
        <w:rPr>
          <w:rFonts w:cstheme="minorHAnsi"/>
          <w:color w:val="000000"/>
          <w:sz w:val="18"/>
          <w:szCs w:val="18"/>
        </w:rPr>
        <w:t>then, and</w:t>
      </w:r>
      <w:proofErr w:type="gramEnd"/>
      <w:r w:rsidRPr="00884F4E">
        <w:rPr>
          <w:rFonts w:cstheme="minorHAnsi"/>
          <w:color w:val="000000"/>
          <w:sz w:val="18"/>
          <w:szCs w:val="18"/>
        </w:rPr>
        <w:t xml:space="preserve"> stayed there for seven full years. </w:t>
      </w:r>
    </w:p>
    <w:p w14:paraId="74EB8AF3" w14:textId="77777777" w:rsidR="00884F4E" w:rsidRPr="00884F4E" w:rsidRDefault="00884F4E" w:rsidP="00884F4E">
      <w:pPr>
        <w:ind w:firstLine="720"/>
        <w:rPr>
          <w:rFonts w:cstheme="minorHAnsi"/>
          <w:color w:val="000000"/>
          <w:sz w:val="18"/>
          <w:szCs w:val="18"/>
        </w:rPr>
      </w:pPr>
      <w:r w:rsidRPr="00884F4E">
        <w:rPr>
          <w:rFonts w:cstheme="minorHAnsi"/>
          <w:color w:val="000000"/>
          <w:sz w:val="18"/>
          <w:szCs w:val="18"/>
        </w:rPr>
        <w:t xml:space="preserve">As interest rates dropped like a rock, investment yields soon followed. The typical community bank’s investment portfolio yield fell by about 130 basis points (1.30 percent) between 2006 and 2009, even though average maturities actually increased during that window. Portfolio managers were trying hard to build some duration to stem the cash flow tidal waves that were storming through their balance sheets. </w:t>
      </w:r>
    </w:p>
    <w:p w14:paraId="0B3E84D7" w14:textId="77777777" w:rsidR="00884F4E" w:rsidRPr="00884F4E" w:rsidRDefault="00884F4E" w:rsidP="00884F4E">
      <w:pPr>
        <w:ind w:firstLine="720"/>
        <w:rPr>
          <w:rFonts w:cstheme="minorHAnsi"/>
          <w:b/>
          <w:bCs/>
          <w:color w:val="000000"/>
          <w:sz w:val="18"/>
          <w:szCs w:val="18"/>
        </w:rPr>
      </w:pPr>
      <w:r w:rsidRPr="00884F4E">
        <w:rPr>
          <w:rFonts w:cstheme="minorHAnsi"/>
          <w:color w:val="000000"/>
          <w:sz w:val="18"/>
          <w:szCs w:val="18"/>
        </w:rPr>
        <w:t xml:space="preserve">What’s the lesson to be learned? Well, I think it’s been internalized that a flat curve precedes a slowdown in the economy and, eventually, a stimulative Fed policy. Instead, perhaps the message today is that there are tools available to help make good decisions about maximizing </w:t>
      </w:r>
      <w:r w:rsidRPr="00884F4E">
        <w:rPr>
          <w:rFonts w:cstheme="minorHAnsi"/>
          <w:b/>
          <w:bCs/>
          <w:color w:val="000000"/>
          <w:sz w:val="18"/>
          <w:szCs w:val="18"/>
        </w:rPr>
        <w:t>bang-for-the-buck when picking investments among a stack that have similar yields.</w:t>
      </w:r>
    </w:p>
    <w:p w14:paraId="787AE99E" w14:textId="77777777" w:rsidR="00884F4E" w:rsidRPr="00884F4E" w:rsidRDefault="00884F4E" w:rsidP="00884F4E">
      <w:pPr>
        <w:rPr>
          <w:rFonts w:cstheme="minorHAnsi"/>
          <w:b/>
          <w:bCs/>
          <w:color w:val="000000"/>
          <w:sz w:val="18"/>
          <w:szCs w:val="18"/>
        </w:rPr>
      </w:pPr>
    </w:p>
    <w:p w14:paraId="1E615779" w14:textId="77777777" w:rsidR="00884F4E" w:rsidRPr="00884F4E" w:rsidRDefault="00884F4E" w:rsidP="00884F4E">
      <w:pPr>
        <w:rPr>
          <w:rFonts w:cstheme="minorHAnsi"/>
          <w:b/>
          <w:bCs/>
          <w:color w:val="000000"/>
          <w:sz w:val="18"/>
          <w:szCs w:val="18"/>
        </w:rPr>
      </w:pPr>
      <w:r w:rsidRPr="00884F4E">
        <w:rPr>
          <w:rFonts w:cstheme="minorHAnsi"/>
          <w:b/>
          <w:bCs/>
          <w:color w:val="000000"/>
          <w:sz w:val="18"/>
          <w:szCs w:val="18"/>
        </w:rPr>
        <w:t>Yield versus volatility</w:t>
      </w:r>
    </w:p>
    <w:p w14:paraId="17658737" w14:textId="77777777" w:rsidR="00884F4E" w:rsidRPr="00884F4E" w:rsidRDefault="00884F4E" w:rsidP="00884F4E">
      <w:pPr>
        <w:rPr>
          <w:rFonts w:cstheme="minorHAnsi"/>
          <w:color w:val="000000"/>
          <w:sz w:val="18"/>
          <w:szCs w:val="18"/>
        </w:rPr>
      </w:pPr>
      <w:r w:rsidRPr="00884F4E">
        <w:rPr>
          <w:rFonts w:cstheme="minorHAnsi"/>
          <w:color w:val="000000"/>
          <w:sz w:val="18"/>
          <w:szCs w:val="18"/>
        </w:rPr>
        <w:t xml:space="preserve">It’s time to state for the record that not all bonds today, nor at any other time, yield the same. There are always going to be allowances for liquidity, certainty and, of course, credit quality. It is, however, correct to say that the range of available yields has converged into a tighter stratus than any time in the last decade. </w:t>
      </w:r>
    </w:p>
    <w:p w14:paraId="2D00FCAF" w14:textId="77777777" w:rsidR="00884F4E" w:rsidRPr="00884F4E" w:rsidRDefault="00884F4E" w:rsidP="00884F4E">
      <w:pPr>
        <w:ind w:firstLine="720"/>
        <w:rPr>
          <w:rFonts w:cstheme="minorHAnsi"/>
          <w:color w:val="000000"/>
          <w:sz w:val="18"/>
          <w:szCs w:val="18"/>
        </w:rPr>
      </w:pPr>
      <w:r w:rsidRPr="00884F4E">
        <w:rPr>
          <w:rFonts w:cstheme="minorHAnsi"/>
          <w:color w:val="000000"/>
          <w:sz w:val="18"/>
          <w:szCs w:val="18"/>
        </w:rPr>
        <w:t xml:space="preserve">So, an important measure of value—total return—becomes more prominent when faced with an interest rate environment like the one we have in 2019. Total return is the sum of two inputs: yield and price change over a period of time. If a community bank has a bond with a 2.50 percent yield and its price increases by 1 percent over the next 12 months, its total return for the period is 3.50 percent. </w:t>
      </w:r>
    </w:p>
    <w:p w14:paraId="19EA85CA" w14:textId="77777777" w:rsidR="00884F4E" w:rsidRPr="00884F4E" w:rsidRDefault="00884F4E" w:rsidP="00884F4E">
      <w:pPr>
        <w:rPr>
          <w:rFonts w:cstheme="minorHAnsi"/>
          <w:b/>
          <w:bCs/>
          <w:color w:val="000000"/>
          <w:sz w:val="18"/>
          <w:szCs w:val="18"/>
        </w:rPr>
      </w:pPr>
    </w:p>
    <w:p w14:paraId="551B6368" w14:textId="77777777" w:rsidR="00884F4E" w:rsidRPr="00884F4E" w:rsidRDefault="00884F4E" w:rsidP="00884F4E">
      <w:pPr>
        <w:rPr>
          <w:rFonts w:cstheme="minorHAnsi"/>
          <w:b/>
          <w:bCs/>
          <w:color w:val="000000"/>
          <w:sz w:val="18"/>
          <w:szCs w:val="18"/>
        </w:rPr>
      </w:pPr>
      <w:r w:rsidRPr="00884F4E">
        <w:rPr>
          <w:rFonts w:cstheme="minorHAnsi"/>
          <w:b/>
          <w:bCs/>
          <w:color w:val="000000"/>
          <w:sz w:val="18"/>
          <w:szCs w:val="18"/>
        </w:rPr>
        <w:t>Going dark</w:t>
      </w:r>
    </w:p>
    <w:p w14:paraId="16C1827F" w14:textId="77777777" w:rsidR="00884F4E" w:rsidRPr="00884F4E" w:rsidRDefault="00884F4E" w:rsidP="00884F4E">
      <w:pPr>
        <w:rPr>
          <w:rFonts w:cstheme="minorHAnsi"/>
          <w:color w:val="000000"/>
          <w:sz w:val="18"/>
          <w:szCs w:val="18"/>
        </w:rPr>
      </w:pPr>
      <w:r w:rsidRPr="00884F4E">
        <w:rPr>
          <w:rFonts w:cstheme="minorHAnsi"/>
          <w:color w:val="000000"/>
          <w:sz w:val="18"/>
          <w:szCs w:val="18"/>
        </w:rPr>
        <w:t xml:space="preserve">Any collection of investments can be modeled for total return over a range of future interest rate paths, and their results tallied for comparison. You are correct to assume a short bond will outperform a longer one if interest rates rise in the future, as the starting yields will be roughly </w:t>
      </w:r>
      <w:proofErr w:type="gramStart"/>
      <w:r w:rsidRPr="00884F4E">
        <w:rPr>
          <w:rFonts w:cstheme="minorHAnsi"/>
          <w:color w:val="000000"/>
          <w:sz w:val="18"/>
          <w:szCs w:val="18"/>
        </w:rPr>
        <w:t>similar</w:t>
      </w:r>
      <w:proofErr w:type="gramEnd"/>
      <w:r w:rsidRPr="00884F4E">
        <w:rPr>
          <w:rFonts w:cstheme="minorHAnsi"/>
          <w:color w:val="000000"/>
          <w:sz w:val="18"/>
          <w:szCs w:val="18"/>
        </w:rPr>
        <w:t xml:space="preserve"> but the price volatility will be less. The opposite is thus: Longer-duration bonds will have higher total returns, given a lower rate horizon.</w:t>
      </w:r>
    </w:p>
    <w:p w14:paraId="18B80354" w14:textId="77777777" w:rsidR="00884F4E" w:rsidRPr="00884F4E" w:rsidRDefault="00884F4E" w:rsidP="00884F4E">
      <w:pPr>
        <w:ind w:firstLine="720"/>
        <w:rPr>
          <w:rFonts w:cstheme="minorHAnsi"/>
          <w:color w:val="000000"/>
          <w:sz w:val="18"/>
          <w:szCs w:val="18"/>
        </w:rPr>
      </w:pPr>
      <w:r w:rsidRPr="00884F4E">
        <w:rPr>
          <w:rFonts w:cstheme="minorHAnsi"/>
          <w:color w:val="000000"/>
          <w:sz w:val="18"/>
          <w:szCs w:val="18"/>
        </w:rPr>
        <w:t>Many broker-dealers and bond analysts survey the market and compile total return outcomes on tables for investors to utilize. An excerpt of one such table is below. In this example, the darker the square, the higher relative return given that future rate assumption. The darkest squares indicate top-quartile performance among all other bonds in that column.</w:t>
      </w:r>
    </w:p>
    <w:p w14:paraId="6783E4C2" w14:textId="6664620A" w:rsidR="00095353" w:rsidRPr="00884F4E" w:rsidRDefault="00884F4E" w:rsidP="00884F4E">
      <w:pPr>
        <w:ind w:firstLine="720"/>
        <w:rPr>
          <w:rFonts w:cstheme="minorHAnsi"/>
          <w:color w:val="000000"/>
          <w:w w:val="101"/>
          <w:sz w:val="22"/>
          <w:szCs w:val="22"/>
        </w:rPr>
      </w:pPr>
      <w:r w:rsidRPr="00884F4E">
        <w:rPr>
          <w:rFonts w:cstheme="minorHAnsi"/>
          <w:color w:val="000000"/>
          <w:sz w:val="18"/>
          <w:szCs w:val="18"/>
        </w:rPr>
        <w:t xml:space="preserve">Market yield barometers have long been available to identify securities that offer relative value. Given the convergence of stated returns in today’s market, and the possibility of the next secular shift being </w:t>
      </w:r>
      <w:r w:rsidRPr="00884F4E">
        <w:rPr>
          <w:rFonts w:cstheme="minorHAnsi"/>
          <w:i/>
          <w:iCs/>
          <w:color w:val="000000"/>
          <w:sz w:val="18"/>
          <w:szCs w:val="18"/>
        </w:rPr>
        <w:t>either</w:t>
      </w:r>
      <w:r w:rsidRPr="00884F4E">
        <w:rPr>
          <w:rFonts w:cstheme="minorHAnsi"/>
          <w:color w:val="000000"/>
          <w:sz w:val="18"/>
          <w:szCs w:val="18"/>
        </w:rPr>
        <w:t xml:space="preserve"> higher or lower, total return analysis may be a useful alternative tract for portfolio management and measurement.</w:t>
      </w:r>
    </w:p>
    <w:p w14:paraId="176A3B32" w14:textId="77777777" w:rsidR="00884F4E" w:rsidRDefault="00884F4E" w:rsidP="004C5086">
      <w:pPr>
        <w:rPr>
          <w:rFonts w:cstheme="minorHAnsi"/>
          <w:b/>
          <w:bCs/>
          <w:color w:val="000000"/>
          <w:w w:val="101"/>
          <w:sz w:val="22"/>
          <w:szCs w:val="22"/>
        </w:rPr>
      </w:pPr>
    </w:p>
    <w:p w14:paraId="4A0293D9" w14:textId="77777777" w:rsidR="00884F4E" w:rsidRDefault="00884F4E" w:rsidP="004C5086">
      <w:pPr>
        <w:rPr>
          <w:rFonts w:cstheme="minorHAnsi"/>
          <w:b/>
          <w:bCs/>
          <w:color w:val="000000"/>
          <w:w w:val="101"/>
          <w:sz w:val="22"/>
          <w:szCs w:val="22"/>
        </w:rPr>
      </w:pPr>
    </w:p>
    <w:p w14:paraId="77434FC4" w14:textId="616DBD43" w:rsidR="004C5086" w:rsidRPr="00095353" w:rsidRDefault="004C5086" w:rsidP="004C5086">
      <w:pPr>
        <w:rPr>
          <w:rFonts w:cstheme="minorHAnsi"/>
          <w:b/>
          <w:bCs/>
          <w:color w:val="000000"/>
          <w:w w:val="101"/>
          <w:sz w:val="22"/>
          <w:szCs w:val="22"/>
        </w:rPr>
      </w:pPr>
      <w:r w:rsidRPr="00095353">
        <w:rPr>
          <w:rFonts w:cstheme="minorHAnsi"/>
          <w:b/>
          <w:bCs/>
          <w:color w:val="000000"/>
          <w:w w:val="101"/>
          <w:sz w:val="22"/>
          <w:szCs w:val="22"/>
        </w:rPr>
        <w:t>Education on Tap</w:t>
      </w:r>
    </w:p>
    <w:p w14:paraId="29139640" w14:textId="77777777" w:rsidR="00095353" w:rsidRPr="00095353" w:rsidRDefault="00095353" w:rsidP="004C5086">
      <w:pPr>
        <w:rPr>
          <w:rFonts w:cstheme="minorHAnsi"/>
          <w:b/>
          <w:bCs/>
          <w:color w:val="000000"/>
          <w:w w:val="101"/>
          <w:sz w:val="22"/>
          <w:szCs w:val="22"/>
        </w:rPr>
      </w:pPr>
    </w:p>
    <w:p w14:paraId="11A02F84" w14:textId="77777777" w:rsidR="00884F4E" w:rsidRPr="00884F4E" w:rsidRDefault="00884F4E" w:rsidP="00884F4E">
      <w:pPr>
        <w:pStyle w:val="03sidebarGraphikRegNoIndentsidebar"/>
        <w:rPr>
          <w:rFonts w:asciiTheme="majorHAnsi" w:hAnsiTheme="majorHAnsi" w:cstheme="majorHAnsi"/>
          <w:b/>
          <w:bCs/>
          <w:sz w:val="22"/>
          <w:szCs w:val="22"/>
        </w:rPr>
      </w:pPr>
      <w:r w:rsidRPr="00884F4E">
        <w:rPr>
          <w:rFonts w:asciiTheme="majorHAnsi" w:hAnsiTheme="majorHAnsi" w:cstheme="majorHAnsi"/>
          <w:b/>
          <w:bCs/>
          <w:sz w:val="22"/>
          <w:szCs w:val="22"/>
        </w:rPr>
        <w:t>Investment alternatives matrix</w:t>
      </w:r>
    </w:p>
    <w:p w14:paraId="0414A40B" w14:textId="494B99F8" w:rsidR="00884F4E" w:rsidRPr="00884F4E" w:rsidRDefault="00884F4E" w:rsidP="00884F4E">
      <w:pPr>
        <w:pStyle w:val="03sidebarGraphikRegNoIndentsidebar"/>
        <w:rPr>
          <w:rFonts w:asciiTheme="majorHAnsi" w:hAnsiTheme="majorHAnsi" w:cstheme="majorHAnsi"/>
        </w:rPr>
      </w:pPr>
      <w:r w:rsidRPr="00884F4E">
        <w:rPr>
          <w:rFonts w:asciiTheme="majorHAnsi" w:hAnsiTheme="majorHAnsi" w:cstheme="majorHAnsi"/>
          <w:b/>
          <w:bCs/>
          <w:color w:val="auto"/>
          <w:sz w:val="22"/>
          <w:szCs w:val="22"/>
        </w:rPr>
        <w:t xml:space="preserve"> </w:t>
      </w:r>
      <w:r w:rsidRPr="00884F4E">
        <w:rPr>
          <w:rFonts w:asciiTheme="majorHAnsi" w:hAnsiTheme="majorHAnsi" w:cstheme="majorHAnsi"/>
        </w:rPr>
        <w:t xml:space="preserve">This comprehensive analysis is produced weekly by ICBA Securities’ exclusive broker, Vining Sparks. It displays projected total returns on myriad fixed-income investments across different interest rate paths. To receive yours, contact your Vining Sparks sales rep or visit </w:t>
      </w:r>
      <w:r w:rsidRPr="00884F4E">
        <w:rPr>
          <w:rFonts w:asciiTheme="majorHAnsi" w:hAnsiTheme="majorHAnsi" w:cstheme="majorHAnsi"/>
          <w:b/>
          <w:bCs/>
          <w:i/>
          <w:iCs/>
        </w:rPr>
        <w:t>viningsparks.com</w:t>
      </w:r>
      <w:r w:rsidRPr="00884F4E">
        <w:rPr>
          <w:rFonts w:asciiTheme="majorHAnsi" w:hAnsiTheme="majorHAnsi" w:cstheme="majorHAnsi"/>
        </w:rPr>
        <w:t xml:space="preserve"> </w:t>
      </w:r>
    </w:p>
    <w:p w14:paraId="4D4E1A74" w14:textId="77777777" w:rsidR="00884F4E" w:rsidRDefault="00884F4E" w:rsidP="00884F4E">
      <w:pPr>
        <w:rPr>
          <w:rFonts w:cstheme="minorHAnsi"/>
          <w:b/>
          <w:bCs/>
          <w:color w:val="000000"/>
          <w:sz w:val="18"/>
          <w:szCs w:val="18"/>
        </w:rPr>
      </w:pPr>
    </w:p>
    <w:p w14:paraId="0D42A774" w14:textId="09278CB8" w:rsidR="00884F4E" w:rsidRPr="00884F4E" w:rsidRDefault="00884F4E" w:rsidP="00884F4E">
      <w:pPr>
        <w:rPr>
          <w:rFonts w:cstheme="minorHAnsi"/>
          <w:b/>
          <w:bCs/>
          <w:color w:val="000000"/>
          <w:sz w:val="18"/>
          <w:szCs w:val="18"/>
        </w:rPr>
      </w:pPr>
      <w:r w:rsidRPr="00884F4E">
        <w:rPr>
          <w:rFonts w:cstheme="minorHAnsi"/>
          <w:b/>
          <w:bCs/>
          <w:color w:val="000000"/>
          <w:sz w:val="18"/>
          <w:szCs w:val="18"/>
        </w:rPr>
        <w:t>Bond Academy registration now open</w:t>
      </w:r>
    </w:p>
    <w:p w14:paraId="2ED64733" w14:textId="4859A30A" w:rsidR="00884F4E" w:rsidRPr="00884F4E" w:rsidRDefault="00884F4E" w:rsidP="00884F4E">
      <w:pPr>
        <w:rPr>
          <w:rFonts w:cstheme="minorHAnsi"/>
          <w:b/>
          <w:bCs/>
          <w:i/>
          <w:iCs/>
          <w:color w:val="000000"/>
          <w:sz w:val="18"/>
          <w:szCs w:val="18"/>
        </w:rPr>
      </w:pPr>
      <w:r w:rsidRPr="00884F4E">
        <w:rPr>
          <w:rFonts w:cstheme="minorHAnsi"/>
          <w:color w:val="000000"/>
          <w:sz w:val="18"/>
          <w:szCs w:val="18"/>
        </w:rPr>
        <w:t xml:space="preserve">The 2019 ICBA Bond Academy will be held in Memphis, Tenn., from Oct. 21–22. This program teaches bond basics with an emphasis on product selection and portfolio management. Up to 12 hours of CPE are available. For more information, visit </w:t>
      </w:r>
      <w:r w:rsidRPr="00884F4E">
        <w:rPr>
          <w:rFonts w:cstheme="minorHAnsi"/>
          <w:b/>
          <w:bCs/>
          <w:i/>
          <w:iCs/>
          <w:color w:val="000000"/>
          <w:sz w:val="18"/>
          <w:szCs w:val="18"/>
        </w:rPr>
        <w:t>icbasecurities.com</w:t>
      </w:r>
    </w:p>
    <w:p w14:paraId="6456E831" w14:textId="1699DE6F" w:rsidR="00095353" w:rsidRDefault="00095353" w:rsidP="00095353">
      <w:pPr>
        <w:rPr>
          <w:rFonts w:cstheme="minorHAnsi"/>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1372"/>
        <w:gridCol w:w="833"/>
        <w:gridCol w:w="832"/>
        <w:gridCol w:w="833"/>
        <w:gridCol w:w="832"/>
        <w:gridCol w:w="833"/>
        <w:gridCol w:w="832"/>
        <w:gridCol w:w="833"/>
      </w:tblGrid>
      <w:tr w:rsidR="00884F4E" w14:paraId="0BE1FCF1" w14:textId="77777777">
        <w:tblPrEx>
          <w:tblCellMar>
            <w:top w:w="0" w:type="dxa"/>
            <w:left w:w="0" w:type="dxa"/>
            <w:bottom w:w="0" w:type="dxa"/>
            <w:right w:w="0" w:type="dxa"/>
          </w:tblCellMar>
        </w:tblPrEx>
        <w:trPr>
          <w:trHeight w:val="60"/>
        </w:trPr>
        <w:tc>
          <w:tcPr>
            <w:tcW w:w="7200" w:type="dxa"/>
            <w:gridSpan w:val="8"/>
            <w:tcBorders>
              <w:top w:val="single" w:sz="4" w:space="0" w:color="000000"/>
              <w:left w:val="single" w:sz="4" w:space="0" w:color="000000"/>
              <w:bottom w:val="single" w:sz="4" w:space="0" w:color="000000"/>
              <w:right w:val="single" w:sz="4" w:space="0" w:color="000000"/>
            </w:tcBorders>
            <w:shd w:val="solid" w:color="C3D5E1" w:fill="auto"/>
            <w:tcMar>
              <w:top w:w="120" w:type="dxa"/>
              <w:left w:w="80" w:type="dxa"/>
              <w:bottom w:w="120" w:type="dxa"/>
              <w:right w:w="80" w:type="dxa"/>
            </w:tcMar>
          </w:tcPr>
          <w:p w14:paraId="6C5B769B" w14:textId="77777777" w:rsidR="00884F4E" w:rsidRDefault="00884F4E">
            <w:pPr>
              <w:pStyle w:val="03sidebarheadGraphikBoldNoIndent12"/>
            </w:pPr>
            <w:r>
              <w:rPr>
                <w:sz w:val="20"/>
                <w:szCs w:val="20"/>
              </w:rPr>
              <w:t xml:space="preserve">Investment alternatives matrix: </w:t>
            </w:r>
            <w:r>
              <w:rPr>
                <w:rFonts w:ascii="Graphik Semibold" w:hAnsi="Graphik Semibold" w:cs="Graphik Semibold"/>
                <w:b w:val="0"/>
                <w:bCs w:val="0"/>
                <w:sz w:val="20"/>
                <w:szCs w:val="20"/>
              </w:rPr>
              <w:t>12-month total return</w:t>
            </w:r>
          </w:p>
        </w:tc>
      </w:tr>
      <w:tr w:rsidR="00884F4E" w14:paraId="57838BF2" w14:textId="77777777">
        <w:tblPrEx>
          <w:tblCellMar>
            <w:top w:w="0" w:type="dxa"/>
            <w:left w:w="0" w:type="dxa"/>
            <w:bottom w:w="0" w:type="dxa"/>
            <w:right w:w="0" w:type="dxa"/>
          </w:tblCellMar>
        </w:tblPrEx>
        <w:trPr>
          <w:trHeight w:val="289"/>
        </w:trPr>
        <w:tc>
          <w:tcPr>
            <w:tcW w:w="1372"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77B15AED" w14:textId="77777777" w:rsidR="00884F4E" w:rsidRDefault="00884F4E">
            <w:pPr>
              <w:pStyle w:val="08TableTextCenterGTable"/>
              <w:jc w:val="right"/>
            </w:pPr>
            <w:r>
              <w:rPr>
                <w:rFonts w:ascii="Graphik Cond Semibold" w:hAnsi="Graphik Cond Semibold" w:cs="Graphik Cond Semibold"/>
              </w:rPr>
              <w:t>Security description</w:t>
            </w:r>
          </w:p>
        </w:tc>
        <w:tc>
          <w:tcPr>
            <w:tcW w:w="833"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69FA2AD5" w14:textId="77777777" w:rsidR="00884F4E" w:rsidRDefault="00884F4E">
            <w:pPr>
              <w:pStyle w:val="08TableTextCenterGTable"/>
            </w:pPr>
            <w:r>
              <w:rPr>
                <w:rFonts w:ascii="Graphik Cond Semibold" w:hAnsi="Graphik Cond Semibold" w:cs="Graphik Cond Semibold"/>
              </w:rPr>
              <w:t>-100</w:t>
            </w:r>
          </w:p>
        </w:tc>
        <w:tc>
          <w:tcPr>
            <w:tcW w:w="832"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3D4A2D95" w14:textId="77777777" w:rsidR="00884F4E" w:rsidRDefault="00884F4E">
            <w:pPr>
              <w:pStyle w:val="08TableTextCenterGTable"/>
            </w:pPr>
            <w:r>
              <w:rPr>
                <w:rFonts w:ascii="Graphik Cond Semibold" w:hAnsi="Graphik Cond Semibold" w:cs="Graphik Cond Semibold"/>
              </w:rPr>
              <w:t>-50</w:t>
            </w:r>
          </w:p>
        </w:tc>
        <w:tc>
          <w:tcPr>
            <w:tcW w:w="833"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61C37ECD" w14:textId="77777777" w:rsidR="00884F4E" w:rsidRDefault="00884F4E">
            <w:pPr>
              <w:pStyle w:val="08TableTextCenterGTable"/>
            </w:pPr>
            <w:r>
              <w:rPr>
                <w:rFonts w:ascii="Graphik Cond Semibold" w:hAnsi="Graphik Cond Semibold" w:cs="Graphik Cond Semibold"/>
              </w:rPr>
              <w:t>-25</w:t>
            </w:r>
          </w:p>
        </w:tc>
        <w:tc>
          <w:tcPr>
            <w:tcW w:w="832"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23E457DD" w14:textId="77777777" w:rsidR="00884F4E" w:rsidRDefault="00884F4E">
            <w:pPr>
              <w:pStyle w:val="08TableTextCenterGTable"/>
            </w:pPr>
            <w:r>
              <w:rPr>
                <w:rFonts w:ascii="Graphik Cond Semibold" w:hAnsi="Graphik Cond Semibold" w:cs="Graphik Cond Semibold"/>
              </w:rPr>
              <w:t>Base</w:t>
            </w:r>
          </w:p>
        </w:tc>
        <w:tc>
          <w:tcPr>
            <w:tcW w:w="833"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0A0B8784" w14:textId="77777777" w:rsidR="00884F4E" w:rsidRDefault="00884F4E">
            <w:pPr>
              <w:pStyle w:val="08TableTextCenterGTable"/>
            </w:pPr>
            <w:r>
              <w:rPr>
                <w:rFonts w:ascii="Graphik Cond Semibold" w:hAnsi="Graphik Cond Semibold" w:cs="Graphik Cond Semibold"/>
              </w:rPr>
              <w:t>25</w:t>
            </w:r>
          </w:p>
        </w:tc>
        <w:tc>
          <w:tcPr>
            <w:tcW w:w="832"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775A7857" w14:textId="77777777" w:rsidR="00884F4E" w:rsidRDefault="00884F4E">
            <w:pPr>
              <w:pStyle w:val="08TableTextCenterGTable"/>
            </w:pPr>
            <w:r>
              <w:rPr>
                <w:rFonts w:ascii="Graphik Cond Semibold" w:hAnsi="Graphik Cond Semibold" w:cs="Graphik Cond Semibold"/>
              </w:rPr>
              <w:t>50</w:t>
            </w:r>
          </w:p>
        </w:tc>
        <w:tc>
          <w:tcPr>
            <w:tcW w:w="833" w:type="dxa"/>
            <w:tcBorders>
              <w:top w:val="single" w:sz="4"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64C793F2" w14:textId="77777777" w:rsidR="00884F4E" w:rsidRDefault="00884F4E">
            <w:pPr>
              <w:pStyle w:val="08TableTextCenterGTable"/>
            </w:pPr>
            <w:r>
              <w:rPr>
                <w:rFonts w:ascii="Graphik Cond Semibold" w:hAnsi="Graphik Cond Semibold" w:cs="Graphik Cond Semibold"/>
              </w:rPr>
              <w:t>100</w:t>
            </w:r>
          </w:p>
        </w:tc>
      </w:tr>
      <w:tr w:rsidR="00884F4E" w14:paraId="2BB543B6" w14:textId="77777777">
        <w:tblPrEx>
          <w:tblCellMar>
            <w:top w:w="0" w:type="dxa"/>
            <w:left w:w="0" w:type="dxa"/>
            <w:bottom w:w="0" w:type="dxa"/>
            <w:right w:w="0" w:type="dxa"/>
          </w:tblCellMar>
        </w:tblPrEx>
        <w:trPr>
          <w:trHeight w:val="289"/>
        </w:trPr>
        <w:tc>
          <w:tcPr>
            <w:tcW w:w="1372" w:type="dxa"/>
            <w:tcBorders>
              <w:top w:val="single" w:sz="4"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6C9CA55E" w14:textId="77777777" w:rsidR="00884F4E" w:rsidRDefault="00884F4E">
            <w:pPr>
              <w:pStyle w:val="08TableTextCenterGTable"/>
              <w:jc w:val="right"/>
            </w:pPr>
            <w:r>
              <w:t>2Y Agency Bullet</w:t>
            </w:r>
          </w:p>
        </w:tc>
        <w:tc>
          <w:tcPr>
            <w:tcW w:w="833" w:type="dxa"/>
            <w:tcBorders>
              <w:top w:val="single" w:sz="4"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5080FAE9" w14:textId="77777777" w:rsidR="00884F4E" w:rsidRDefault="00884F4E">
            <w:pPr>
              <w:pStyle w:val="08TableTextCenterGTable"/>
            </w:pPr>
            <w:r>
              <w:t>3.26</w:t>
            </w:r>
          </w:p>
        </w:tc>
        <w:tc>
          <w:tcPr>
            <w:tcW w:w="832" w:type="dxa"/>
            <w:tcBorders>
              <w:top w:val="single" w:sz="4"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7F26AEE8" w14:textId="77777777" w:rsidR="00884F4E" w:rsidRDefault="00884F4E">
            <w:pPr>
              <w:pStyle w:val="08TableTextCenterGTable"/>
            </w:pPr>
            <w:r>
              <w:t>2.76</w:t>
            </w:r>
          </w:p>
        </w:tc>
        <w:tc>
          <w:tcPr>
            <w:tcW w:w="833" w:type="dxa"/>
            <w:tcBorders>
              <w:top w:val="single" w:sz="4"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0A10FA90" w14:textId="77777777" w:rsidR="00884F4E" w:rsidRDefault="00884F4E">
            <w:pPr>
              <w:pStyle w:val="08TableTextCenterGTable"/>
            </w:pPr>
            <w:r>
              <w:t>2.52</w:t>
            </w:r>
          </w:p>
        </w:tc>
        <w:tc>
          <w:tcPr>
            <w:tcW w:w="832" w:type="dxa"/>
            <w:tcBorders>
              <w:top w:val="single" w:sz="4"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48691897" w14:textId="77777777" w:rsidR="00884F4E" w:rsidRDefault="00884F4E">
            <w:pPr>
              <w:pStyle w:val="08TableTextCenterGTable"/>
            </w:pPr>
            <w:r>
              <w:t>2.28</w:t>
            </w:r>
          </w:p>
        </w:tc>
        <w:tc>
          <w:tcPr>
            <w:tcW w:w="833" w:type="dxa"/>
            <w:tcBorders>
              <w:top w:val="single" w:sz="4"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02E12E21" w14:textId="77777777" w:rsidR="00884F4E" w:rsidRDefault="00884F4E">
            <w:pPr>
              <w:pStyle w:val="08TableTextCenterGTable"/>
            </w:pPr>
            <w:r>
              <w:t>2.03</w:t>
            </w:r>
          </w:p>
        </w:tc>
        <w:tc>
          <w:tcPr>
            <w:tcW w:w="832" w:type="dxa"/>
            <w:tcBorders>
              <w:top w:val="single" w:sz="4"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13B3503A" w14:textId="77777777" w:rsidR="00884F4E" w:rsidRDefault="00884F4E">
            <w:pPr>
              <w:pStyle w:val="08TableTextCenterGTable"/>
            </w:pPr>
            <w:r>
              <w:t>1.79</w:t>
            </w:r>
          </w:p>
        </w:tc>
        <w:tc>
          <w:tcPr>
            <w:tcW w:w="833" w:type="dxa"/>
            <w:tcBorders>
              <w:top w:val="single" w:sz="4"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6119894D" w14:textId="77777777" w:rsidR="00884F4E" w:rsidRDefault="00884F4E">
            <w:pPr>
              <w:pStyle w:val="08TableTextCenterGTable"/>
            </w:pPr>
            <w:r>
              <w:t>1.31</w:t>
            </w:r>
          </w:p>
        </w:tc>
      </w:tr>
      <w:tr w:rsidR="00884F4E" w14:paraId="40C9EBEB" w14:textId="77777777">
        <w:tblPrEx>
          <w:tblCellMar>
            <w:top w:w="0" w:type="dxa"/>
            <w:left w:w="0" w:type="dxa"/>
            <w:bottom w:w="0" w:type="dxa"/>
            <w:right w:w="0" w:type="dxa"/>
          </w:tblCellMar>
        </w:tblPrEx>
        <w:trPr>
          <w:trHeight w:val="289"/>
        </w:trPr>
        <w:tc>
          <w:tcPr>
            <w:tcW w:w="1372"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63F376CE" w14:textId="77777777" w:rsidR="00884F4E" w:rsidRDefault="00884F4E">
            <w:pPr>
              <w:pStyle w:val="08TableTextCenterGTable"/>
              <w:jc w:val="right"/>
            </w:pPr>
            <w:r>
              <w:t>3Y Agency Bullet</w:t>
            </w:r>
          </w:p>
        </w:tc>
        <w:tc>
          <w:tcPr>
            <w:tcW w:w="833"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0E21A6F0" w14:textId="77777777" w:rsidR="00884F4E" w:rsidRDefault="00884F4E">
            <w:pPr>
              <w:pStyle w:val="08TableTextCenterGTable"/>
            </w:pPr>
            <w:r>
              <w:t>4.19</w:t>
            </w:r>
          </w:p>
        </w:tc>
        <w:tc>
          <w:tcPr>
            <w:tcW w:w="832"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3C0E0075" w14:textId="77777777" w:rsidR="00884F4E" w:rsidRDefault="00884F4E">
            <w:pPr>
              <w:pStyle w:val="08TableTextCenterGTable"/>
            </w:pPr>
            <w:r>
              <w:t>3.20</w:t>
            </w:r>
          </w:p>
        </w:tc>
        <w:tc>
          <w:tcPr>
            <w:tcW w:w="833"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003455FC" w14:textId="77777777" w:rsidR="00884F4E" w:rsidRDefault="00884F4E">
            <w:pPr>
              <w:pStyle w:val="08TableTextCenterGTable"/>
            </w:pPr>
            <w:r>
              <w:t>2.72</w:t>
            </w:r>
          </w:p>
        </w:tc>
        <w:tc>
          <w:tcPr>
            <w:tcW w:w="832"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72D350FA" w14:textId="77777777" w:rsidR="00884F4E" w:rsidRDefault="00884F4E">
            <w:pPr>
              <w:pStyle w:val="08TableTextCenterGTable"/>
            </w:pPr>
            <w:r>
              <w:t>2.23</w:t>
            </w:r>
          </w:p>
        </w:tc>
        <w:tc>
          <w:tcPr>
            <w:tcW w:w="833"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2FD67C03" w14:textId="77777777" w:rsidR="00884F4E" w:rsidRDefault="00884F4E">
            <w:pPr>
              <w:pStyle w:val="08TableTextCenterGTable"/>
            </w:pPr>
            <w:r>
              <w:t>1.75</w:t>
            </w:r>
          </w:p>
        </w:tc>
        <w:tc>
          <w:tcPr>
            <w:tcW w:w="832"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5260443F" w14:textId="77777777" w:rsidR="00884F4E" w:rsidRDefault="00884F4E">
            <w:pPr>
              <w:pStyle w:val="08TableTextCenterGTable"/>
            </w:pPr>
            <w:r>
              <w:t>1.27</w:t>
            </w:r>
          </w:p>
        </w:tc>
        <w:tc>
          <w:tcPr>
            <w:tcW w:w="833"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522717D3" w14:textId="77777777" w:rsidR="00884F4E" w:rsidRDefault="00884F4E">
            <w:pPr>
              <w:pStyle w:val="08TableTextCenterGTable"/>
            </w:pPr>
            <w:r>
              <w:t>0.32</w:t>
            </w:r>
          </w:p>
        </w:tc>
      </w:tr>
      <w:tr w:rsidR="00884F4E" w14:paraId="01544477" w14:textId="77777777">
        <w:tblPrEx>
          <w:tblCellMar>
            <w:top w:w="0" w:type="dxa"/>
            <w:left w:w="0" w:type="dxa"/>
            <w:bottom w:w="0" w:type="dxa"/>
            <w:right w:w="0" w:type="dxa"/>
          </w:tblCellMar>
        </w:tblPrEx>
        <w:trPr>
          <w:trHeight w:val="289"/>
        </w:trPr>
        <w:tc>
          <w:tcPr>
            <w:tcW w:w="1372"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1D6C704A" w14:textId="77777777" w:rsidR="00884F4E" w:rsidRDefault="00884F4E">
            <w:pPr>
              <w:pStyle w:val="08TableTextCenterGTable"/>
              <w:jc w:val="right"/>
            </w:pPr>
            <w:r>
              <w:t>4Y Agency Bullet</w:t>
            </w:r>
          </w:p>
        </w:tc>
        <w:tc>
          <w:tcPr>
            <w:tcW w:w="833"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641C7928" w14:textId="77777777" w:rsidR="00884F4E" w:rsidRDefault="00884F4E">
            <w:pPr>
              <w:pStyle w:val="08TableTextCenterGTable"/>
            </w:pPr>
            <w:r>
              <w:t>5.24</w:t>
            </w:r>
          </w:p>
        </w:tc>
        <w:tc>
          <w:tcPr>
            <w:tcW w:w="832"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3360EF2A" w14:textId="77777777" w:rsidR="00884F4E" w:rsidRDefault="00884F4E">
            <w:pPr>
              <w:pStyle w:val="08TableTextCenterGTable"/>
            </w:pPr>
            <w:r>
              <w:t>3.77</w:t>
            </w:r>
          </w:p>
        </w:tc>
        <w:tc>
          <w:tcPr>
            <w:tcW w:w="833"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28C3ECDC" w14:textId="77777777" w:rsidR="00884F4E" w:rsidRDefault="00884F4E">
            <w:pPr>
              <w:pStyle w:val="08TableTextCenterGTable"/>
            </w:pPr>
            <w:r>
              <w:t>3.05</w:t>
            </w:r>
          </w:p>
        </w:tc>
        <w:tc>
          <w:tcPr>
            <w:tcW w:w="832"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7F627C26" w14:textId="77777777" w:rsidR="00884F4E" w:rsidRDefault="00884F4E">
            <w:pPr>
              <w:pStyle w:val="08TableTextCenterGTable"/>
            </w:pPr>
            <w:r>
              <w:t>2.33</w:t>
            </w:r>
          </w:p>
        </w:tc>
        <w:tc>
          <w:tcPr>
            <w:tcW w:w="833"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0041C1E8" w14:textId="77777777" w:rsidR="00884F4E" w:rsidRDefault="00884F4E">
            <w:pPr>
              <w:pStyle w:val="08TableTextCenterGTable"/>
            </w:pPr>
            <w:r>
              <w:t>1.61</w:t>
            </w:r>
          </w:p>
        </w:tc>
        <w:tc>
          <w:tcPr>
            <w:tcW w:w="832"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75B89DBF" w14:textId="77777777" w:rsidR="00884F4E" w:rsidRDefault="00884F4E">
            <w:pPr>
              <w:pStyle w:val="08TableTextCenterGTable"/>
            </w:pPr>
            <w:r>
              <w:t>0.91</w:t>
            </w:r>
          </w:p>
        </w:tc>
        <w:tc>
          <w:tcPr>
            <w:tcW w:w="833"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468898A1" w14:textId="77777777" w:rsidR="00884F4E" w:rsidRDefault="00884F4E">
            <w:pPr>
              <w:pStyle w:val="08TableTextCenterGTable"/>
            </w:pPr>
            <w:r>
              <w:t>-.049</w:t>
            </w:r>
          </w:p>
        </w:tc>
      </w:tr>
      <w:tr w:rsidR="00884F4E" w14:paraId="45A46BE7" w14:textId="77777777">
        <w:tblPrEx>
          <w:tblCellMar>
            <w:top w:w="0" w:type="dxa"/>
            <w:left w:w="0" w:type="dxa"/>
            <w:bottom w:w="0" w:type="dxa"/>
            <w:right w:w="0" w:type="dxa"/>
          </w:tblCellMar>
        </w:tblPrEx>
        <w:trPr>
          <w:trHeight w:val="289"/>
        </w:trPr>
        <w:tc>
          <w:tcPr>
            <w:tcW w:w="1372"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18D332E5" w14:textId="77777777" w:rsidR="00884F4E" w:rsidRDefault="00884F4E">
            <w:pPr>
              <w:pStyle w:val="08TableTextCenterGTable"/>
              <w:jc w:val="right"/>
            </w:pPr>
            <w:r>
              <w:t>5Y Agency Bullet</w:t>
            </w:r>
          </w:p>
        </w:tc>
        <w:tc>
          <w:tcPr>
            <w:tcW w:w="833"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79542E5E" w14:textId="77777777" w:rsidR="00884F4E" w:rsidRDefault="00884F4E">
            <w:pPr>
              <w:pStyle w:val="08TableTextCenterGTable"/>
            </w:pPr>
            <w:r>
              <w:t>6.29</w:t>
            </w:r>
          </w:p>
        </w:tc>
        <w:tc>
          <w:tcPr>
            <w:tcW w:w="832"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2D83B3D0" w14:textId="77777777" w:rsidR="00884F4E" w:rsidRDefault="00884F4E">
            <w:pPr>
              <w:pStyle w:val="08TableTextCenterGTable"/>
            </w:pPr>
            <w:r>
              <w:t>4.33</w:t>
            </w:r>
          </w:p>
        </w:tc>
        <w:tc>
          <w:tcPr>
            <w:tcW w:w="833" w:type="dxa"/>
            <w:tcBorders>
              <w:top w:val="single" w:sz="6" w:space="0" w:color="000000"/>
              <w:left w:val="single" w:sz="4" w:space="0" w:color="000000"/>
              <w:bottom w:val="single" w:sz="6" w:space="0" w:color="000000"/>
              <w:right w:val="single" w:sz="4" w:space="0" w:color="000000"/>
            </w:tcBorders>
            <w:shd w:val="solid" w:color="9FBED1" w:fill="auto"/>
            <w:tcMar>
              <w:top w:w="100" w:type="dxa"/>
              <w:left w:w="80" w:type="dxa"/>
              <w:bottom w:w="100" w:type="dxa"/>
              <w:right w:w="80" w:type="dxa"/>
            </w:tcMar>
          </w:tcPr>
          <w:p w14:paraId="309604C3" w14:textId="77777777" w:rsidR="00884F4E" w:rsidRDefault="00884F4E">
            <w:pPr>
              <w:pStyle w:val="08TableTextCenterGTable"/>
            </w:pPr>
            <w:r>
              <w:t>3.37</w:t>
            </w:r>
          </w:p>
        </w:tc>
        <w:tc>
          <w:tcPr>
            <w:tcW w:w="832"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06416A49" w14:textId="77777777" w:rsidR="00884F4E" w:rsidRDefault="00884F4E">
            <w:pPr>
              <w:pStyle w:val="08TableTextCenterGTable"/>
            </w:pPr>
            <w:r>
              <w:t>2.42</w:t>
            </w:r>
          </w:p>
        </w:tc>
        <w:tc>
          <w:tcPr>
            <w:tcW w:w="833"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169723E6" w14:textId="77777777" w:rsidR="00884F4E" w:rsidRDefault="00884F4E">
            <w:pPr>
              <w:pStyle w:val="08TableTextCenterGTable"/>
            </w:pPr>
            <w:r>
              <w:t>1.48</w:t>
            </w:r>
          </w:p>
        </w:tc>
        <w:tc>
          <w:tcPr>
            <w:tcW w:w="832"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3F48FCEE" w14:textId="77777777" w:rsidR="00884F4E" w:rsidRDefault="00884F4E">
            <w:pPr>
              <w:pStyle w:val="08TableTextCenterGTable"/>
            </w:pPr>
            <w:r>
              <w:t>0.55</w:t>
            </w:r>
          </w:p>
        </w:tc>
        <w:tc>
          <w:tcPr>
            <w:tcW w:w="833"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6E1C1026" w14:textId="77777777" w:rsidR="00884F4E" w:rsidRDefault="00884F4E">
            <w:pPr>
              <w:pStyle w:val="08TableTextCenterGTable"/>
            </w:pPr>
            <w:r>
              <w:t>-1.28</w:t>
            </w:r>
          </w:p>
        </w:tc>
      </w:tr>
      <w:tr w:rsidR="00884F4E" w14:paraId="5C56A250" w14:textId="77777777">
        <w:tblPrEx>
          <w:tblCellMar>
            <w:top w:w="0" w:type="dxa"/>
            <w:left w:w="0" w:type="dxa"/>
            <w:bottom w:w="0" w:type="dxa"/>
            <w:right w:w="0" w:type="dxa"/>
          </w:tblCellMar>
        </w:tblPrEx>
        <w:trPr>
          <w:trHeight w:val="289"/>
        </w:trPr>
        <w:tc>
          <w:tcPr>
            <w:tcW w:w="1372"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4FCC5E8D" w14:textId="77777777" w:rsidR="00884F4E" w:rsidRDefault="00884F4E">
            <w:pPr>
              <w:pStyle w:val="08TableTextCenterGTable"/>
              <w:jc w:val="right"/>
            </w:pPr>
            <w:r>
              <w:t>7Y Agency Bullet</w:t>
            </w:r>
          </w:p>
        </w:tc>
        <w:tc>
          <w:tcPr>
            <w:tcW w:w="833"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6E5414B2" w14:textId="77777777" w:rsidR="00884F4E" w:rsidRDefault="00884F4E">
            <w:pPr>
              <w:pStyle w:val="08TableTextCenterGTable"/>
            </w:pPr>
            <w:r>
              <w:t>8.45</w:t>
            </w:r>
          </w:p>
        </w:tc>
        <w:tc>
          <w:tcPr>
            <w:tcW w:w="832"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2AAAE9D3" w14:textId="77777777" w:rsidR="00884F4E" w:rsidRDefault="00884F4E">
            <w:pPr>
              <w:pStyle w:val="08TableTextCenterGTable"/>
            </w:pPr>
            <w:r>
              <w:t>5.55</w:t>
            </w:r>
          </w:p>
        </w:tc>
        <w:tc>
          <w:tcPr>
            <w:tcW w:w="833" w:type="dxa"/>
            <w:tcBorders>
              <w:top w:val="single" w:sz="6" w:space="0" w:color="000000"/>
              <w:left w:val="single" w:sz="4" w:space="0" w:color="000000"/>
              <w:bottom w:val="single" w:sz="6" w:space="0" w:color="000000"/>
              <w:right w:val="single" w:sz="4" w:space="0" w:color="000000"/>
            </w:tcBorders>
            <w:shd w:val="solid" w:color="3F94B2" w:fill="auto"/>
            <w:tcMar>
              <w:top w:w="100" w:type="dxa"/>
              <w:left w:w="80" w:type="dxa"/>
              <w:bottom w:w="100" w:type="dxa"/>
              <w:right w:w="80" w:type="dxa"/>
            </w:tcMar>
          </w:tcPr>
          <w:p w14:paraId="79D9128C" w14:textId="77777777" w:rsidR="00884F4E" w:rsidRDefault="00884F4E">
            <w:pPr>
              <w:pStyle w:val="08TableTextCenterGTable"/>
            </w:pPr>
            <w:r>
              <w:t>4.13</w:t>
            </w:r>
          </w:p>
        </w:tc>
        <w:tc>
          <w:tcPr>
            <w:tcW w:w="832" w:type="dxa"/>
            <w:tcBorders>
              <w:top w:val="single" w:sz="6" w:space="0" w:color="000000"/>
              <w:left w:val="single" w:sz="4" w:space="0" w:color="000000"/>
              <w:bottom w:val="single" w:sz="6" w:space="0" w:color="000000"/>
              <w:right w:val="single" w:sz="4" w:space="0" w:color="000000"/>
            </w:tcBorders>
            <w:shd w:val="solid" w:color="C3D5E1" w:fill="auto"/>
            <w:tcMar>
              <w:top w:w="100" w:type="dxa"/>
              <w:left w:w="80" w:type="dxa"/>
              <w:bottom w:w="100" w:type="dxa"/>
              <w:right w:w="80" w:type="dxa"/>
            </w:tcMar>
          </w:tcPr>
          <w:p w14:paraId="17A98F54" w14:textId="77777777" w:rsidR="00884F4E" w:rsidRDefault="00884F4E">
            <w:pPr>
              <w:pStyle w:val="08TableTextCenterGTable"/>
            </w:pPr>
            <w:r>
              <w:t>2.74</w:t>
            </w:r>
          </w:p>
        </w:tc>
        <w:tc>
          <w:tcPr>
            <w:tcW w:w="833"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5EEC56C4" w14:textId="77777777" w:rsidR="00884F4E" w:rsidRDefault="00884F4E">
            <w:pPr>
              <w:pStyle w:val="08TableTextCenterGTable"/>
            </w:pPr>
            <w:r>
              <w:t>1.37</w:t>
            </w:r>
          </w:p>
        </w:tc>
        <w:tc>
          <w:tcPr>
            <w:tcW w:w="832"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2BC98175" w14:textId="77777777" w:rsidR="00884F4E" w:rsidRDefault="00884F4E">
            <w:pPr>
              <w:pStyle w:val="08TableTextCenterGTable"/>
            </w:pPr>
            <w:r>
              <w:t>0.02</w:t>
            </w:r>
          </w:p>
        </w:tc>
        <w:tc>
          <w:tcPr>
            <w:tcW w:w="833" w:type="dxa"/>
            <w:tcBorders>
              <w:top w:val="single" w:sz="6" w:space="0" w:color="000000"/>
              <w:left w:val="single" w:sz="4" w:space="0" w:color="000000"/>
              <w:bottom w:val="single" w:sz="6" w:space="0" w:color="000000"/>
              <w:right w:val="single" w:sz="4" w:space="0" w:color="000000"/>
            </w:tcBorders>
            <w:tcMar>
              <w:top w:w="100" w:type="dxa"/>
              <w:left w:w="80" w:type="dxa"/>
              <w:bottom w:w="100" w:type="dxa"/>
              <w:right w:w="80" w:type="dxa"/>
            </w:tcMar>
          </w:tcPr>
          <w:p w14:paraId="6C7840B0" w14:textId="77777777" w:rsidR="00884F4E" w:rsidRDefault="00884F4E">
            <w:pPr>
              <w:pStyle w:val="08TableTextCenterGTable"/>
            </w:pPr>
            <w:r>
              <w:t>-2.62</w:t>
            </w:r>
          </w:p>
        </w:tc>
      </w:tr>
      <w:tr w:rsidR="00884F4E" w14:paraId="16944C65" w14:textId="77777777">
        <w:tblPrEx>
          <w:tblCellMar>
            <w:top w:w="0" w:type="dxa"/>
            <w:left w:w="0" w:type="dxa"/>
            <w:bottom w:w="0" w:type="dxa"/>
            <w:right w:w="0" w:type="dxa"/>
          </w:tblCellMar>
        </w:tblPrEx>
        <w:trPr>
          <w:trHeight w:val="329"/>
        </w:trPr>
        <w:tc>
          <w:tcPr>
            <w:tcW w:w="1372" w:type="dxa"/>
            <w:tcBorders>
              <w:top w:val="single" w:sz="6"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029DB301" w14:textId="77777777" w:rsidR="00884F4E" w:rsidRDefault="00884F4E">
            <w:pPr>
              <w:pStyle w:val="08TableTextCenterGTable"/>
              <w:jc w:val="right"/>
            </w:pPr>
            <w:r>
              <w:t>10Y Agency Bullet</w:t>
            </w:r>
          </w:p>
        </w:tc>
        <w:tc>
          <w:tcPr>
            <w:tcW w:w="833" w:type="dxa"/>
            <w:tcBorders>
              <w:top w:val="single" w:sz="6"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76E8DBF7" w14:textId="77777777" w:rsidR="00884F4E" w:rsidRDefault="00884F4E">
            <w:pPr>
              <w:pStyle w:val="08TableTextCenterGTable"/>
            </w:pPr>
            <w:r>
              <w:t>11.36</w:t>
            </w:r>
          </w:p>
        </w:tc>
        <w:tc>
          <w:tcPr>
            <w:tcW w:w="832" w:type="dxa"/>
            <w:tcBorders>
              <w:top w:val="single" w:sz="6"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5E4B922F" w14:textId="77777777" w:rsidR="00884F4E" w:rsidRDefault="00884F4E">
            <w:pPr>
              <w:pStyle w:val="08TableTextCenterGTable"/>
            </w:pPr>
            <w:r>
              <w:t>7.11</w:t>
            </w:r>
          </w:p>
        </w:tc>
        <w:tc>
          <w:tcPr>
            <w:tcW w:w="833" w:type="dxa"/>
            <w:tcBorders>
              <w:top w:val="single" w:sz="6" w:space="0" w:color="000000"/>
              <w:left w:val="single" w:sz="4" w:space="0" w:color="000000"/>
              <w:bottom w:val="single" w:sz="4" w:space="0" w:color="000000"/>
              <w:right w:val="single" w:sz="4" w:space="0" w:color="000000"/>
            </w:tcBorders>
            <w:shd w:val="solid" w:color="3F94B2" w:fill="auto"/>
            <w:tcMar>
              <w:top w:w="100" w:type="dxa"/>
              <w:left w:w="80" w:type="dxa"/>
              <w:bottom w:w="100" w:type="dxa"/>
              <w:right w:w="80" w:type="dxa"/>
            </w:tcMar>
          </w:tcPr>
          <w:p w14:paraId="143404CC" w14:textId="77777777" w:rsidR="00884F4E" w:rsidRDefault="00884F4E">
            <w:pPr>
              <w:pStyle w:val="08TableTextCenterGTable"/>
            </w:pPr>
            <w:r>
              <w:t>5.06</w:t>
            </w:r>
          </w:p>
        </w:tc>
        <w:tc>
          <w:tcPr>
            <w:tcW w:w="832" w:type="dxa"/>
            <w:tcBorders>
              <w:top w:val="single" w:sz="6" w:space="0" w:color="000000"/>
              <w:left w:val="single" w:sz="4" w:space="0" w:color="000000"/>
              <w:bottom w:val="single" w:sz="4" w:space="0" w:color="000000"/>
              <w:right w:val="single" w:sz="4" w:space="0" w:color="000000"/>
            </w:tcBorders>
            <w:shd w:val="solid" w:color="9FBED1" w:fill="auto"/>
            <w:tcMar>
              <w:top w:w="100" w:type="dxa"/>
              <w:left w:w="80" w:type="dxa"/>
              <w:bottom w:w="100" w:type="dxa"/>
              <w:right w:w="80" w:type="dxa"/>
            </w:tcMar>
          </w:tcPr>
          <w:p w14:paraId="2AA8B2EB" w14:textId="77777777" w:rsidR="00884F4E" w:rsidRDefault="00884F4E">
            <w:pPr>
              <w:pStyle w:val="08TableTextCenterGTable"/>
            </w:pPr>
            <w:r>
              <w:t>3.05</w:t>
            </w:r>
          </w:p>
        </w:tc>
        <w:tc>
          <w:tcPr>
            <w:tcW w:w="833" w:type="dxa"/>
            <w:tcBorders>
              <w:top w:val="single" w:sz="6"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24E4ACAD" w14:textId="77777777" w:rsidR="00884F4E" w:rsidRDefault="00884F4E">
            <w:pPr>
              <w:pStyle w:val="08TableTextCenterGTable"/>
            </w:pPr>
            <w:r>
              <w:t>1.08</w:t>
            </w:r>
          </w:p>
        </w:tc>
        <w:tc>
          <w:tcPr>
            <w:tcW w:w="832" w:type="dxa"/>
            <w:tcBorders>
              <w:top w:val="single" w:sz="6"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73C13160" w14:textId="77777777" w:rsidR="00884F4E" w:rsidRDefault="00884F4E">
            <w:pPr>
              <w:pStyle w:val="08TableTextCenterGTable"/>
            </w:pPr>
            <w:r>
              <w:t>-0.84</w:t>
            </w:r>
          </w:p>
        </w:tc>
        <w:tc>
          <w:tcPr>
            <w:tcW w:w="833" w:type="dxa"/>
            <w:tcBorders>
              <w:top w:val="single" w:sz="6" w:space="0" w:color="000000"/>
              <w:left w:val="single" w:sz="4" w:space="0" w:color="000000"/>
              <w:bottom w:val="single" w:sz="4" w:space="0" w:color="000000"/>
              <w:right w:val="single" w:sz="4" w:space="0" w:color="000000"/>
            </w:tcBorders>
            <w:tcMar>
              <w:top w:w="100" w:type="dxa"/>
              <w:left w:w="80" w:type="dxa"/>
              <w:bottom w:w="100" w:type="dxa"/>
              <w:right w:w="80" w:type="dxa"/>
            </w:tcMar>
          </w:tcPr>
          <w:p w14:paraId="5590297C" w14:textId="77777777" w:rsidR="00884F4E" w:rsidRDefault="00884F4E">
            <w:pPr>
              <w:pStyle w:val="08TableTextCenterGTable"/>
            </w:pPr>
            <w:r>
              <w:t>-4.55</w:t>
            </w:r>
          </w:p>
        </w:tc>
      </w:tr>
    </w:tbl>
    <w:p w14:paraId="27F6F74E" w14:textId="31D09ABD" w:rsidR="00884F4E" w:rsidRDefault="00884F4E" w:rsidP="00095353">
      <w:pPr>
        <w:rPr>
          <w:rFonts w:cstheme="minorHAnsi"/>
          <w:sz w:val="22"/>
          <w:szCs w:val="22"/>
        </w:rPr>
      </w:pPr>
    </w:p>
    <w:p w14:paraId="2ACD11EA" w14:textId="1834FBE7" w:rsidR="00884F4E" w:rsidRDefault="00884F4E" w:rsidP="00095353">
      <w:pPr>
        <w:rPr>
          <w:rFonts w:cstheme="minorHAnsi"/>
          <w:sz w:val="22"/>
          <w:szCs w:val="22"/>
        </w:rPr>
      </w:pPr>
    </w:p>
    <w:p w14:paraId="4F825F35" w14:textId="77777777" w:rsidR="00884F4E" w:rsidRPr="00884F4E" w:rsidRDefault="00884F4E" w:rsidP="00884F4E">
      <w:pPr>
        <w:rPr>
          <w:rFonts w:cstheme="minorHAnsi"/>
          <w:sz w:val="22"/>
          <w:szCs w:val="22"/>
        </w:rPr>
      </w:pPr>
      <w:bookmarkStart w:id="0" w:name="_GoBack"/>
      <w:r w:rsidRPr="00884F4E">
        <w:rPr>
          <w:rFonts w:cstheme="minorHAnsi"/>
          <w:sz w:val="22"/>
          <w:szCs w:val="22"/>
        </w:rPr>
        <w:t>Jim Reber, CPA, CFA (</w:t>
      </w:r>
      <w:r w:rsidRPr="00884F4E">
        <w:rPr>
          <w:rFonts w:cstheme="minorHAnsi"/>
          <w:i/>
          <w:iCs/>
          <w:sz w:val="22"/>
          <w:szCs w:val="22"/>
        </w:rPr>
        <w:t>jreber@icbasecurities.com</w:t>
      </w:r>
      <w:r w:rsidRPr="00884F4E">
        <w:rPr>
          <w:rFonts w:cstheme="minorHAnsi"/>
          <w:sz w:val="22"/>
          <w:szCs w:val="22"/>
        </w:rPr>
        <w:t>), is president and CEO of ICBA Securities, ICBA’s institutional, fixed-income broker-dealer for community banks</w:t>
      </w:r>
    </w:p>
    <w:bookmarkEnd w:id="0"/>
    <w:p w14:paraId="43B081BE" w14:textId="77777777" w:rsidR="00884F4E" w:rsidRPr="00095353" w:rsidRDefault="00884F4E" w:rsidP="00095353">
      <w:pPr>
        <w:rPr>
          <w:rFonts w:cstheme="minorHAnsi"/>
          <w:sz w:val="22"/>
          <w:szCs w:val="22"/>
        </w:rPr>
      </w:pPr>
    </w:p>
    <w:sectPr w:rsidR="00884F4E"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4D"/>
    <w:family w:val="auto"/>
    <w:notTrueType/>
    <w:pitch w:val="default"/>
    <w:sig w:usb0="00000003" w:usb1="00000000" w:usb2="00000000" w:usb3="00000000" w:csb0="00000001"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4D"/>
    <w:family w:val="auto"/>
    <w:notTrueType/>
    <w:pitch w:val="default"/>
    <w:sig w:usb0="00000003" w:usb1="00000000" w:usb2="00000000" w:usb3="00000000" w:csb0="00000001" w:csb1="00000000"/>
  </w:font>
  <w:font w:name="Graphik Cond Regular">
    <w:altName w:val="Graphik Cond"/>
    <w:panose1 w:val="01000302020000010002"/>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raphik Cond Semibold">
    <w:panose1 w:val="01000302020000010002"/>
    <w:charset w:val="00"/>
    <w:family w:val="auto"/>
    <w:notTrueType/>
    <w:pitch w:val="variable"/>
    <w:sig w:usb0="A000002F" w:usb1="4000045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F5360"/>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7F4D7B"/>
    <w:rsid w:val="0081697B"/>
    <w:rsid w:val="00834AF4"/>
    <w:rsid w:val="00856102"/>
    <w:rsid w:val="008575E5"/>
    <w:rsid w:val="0086020A"/>
    <w:rsid w:val="00884F4E"/>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59A6"/>
    <w:rsid w:val="00BA0ABF"/>
    <w:rsid w:val="00BD0BFB"/>
    <w:rsid w:val="00BD7ABD"/>
    <w:rsid w:val="00C2729E"/>
    <w:rsid w:val="00C53367"/>
    <w:rsid w:val="00C6147B"/>
    <w:rsid w:val="00C65EA9"/>
    <w:rsid w:val="00C848EA"/>
    <w:rsid w:val="00CB038F"/>
    <w:rsid w:val="00CB5476"/>
    <w:rsid w:val="00CE414D"/>
    <w:rsid w:val="00CE47AF"/>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 w:type="paragraph" w:customStyle="1" w:styleId="03sidebarheadGraphikBoldNoIndent12">
    <w:name w:val="03.sidebar.head.GraphikBold.NoIndent.12"/>
    <w:basedOn w:val="Normal"/>
    <w:uiPriority w:val="99"/>
    <w:rsid w:val="00884F4E"/>
    <w:pPr>
      <w:autoSpaceDE w:val="0"/>
      <w:autoSpaceDN w:val="0"/>
      <w:adjustRightInd w:val="0"/>
      <w:spacing w:line="240" w:lineRule="atLeast"/>
      <w:textAlignment w:val="center"/>
    </w:pPr>
    <w:rPr>
      <w:rFonts w:ascii="Graphik Bold" w:hAnsi="Graphik Bold" w:cs="Graphik Bold"/>
      <w:b/>
      <w:bCs/>
      <w:color w:val="000000"/>
    </w:rPr>
  </w:style>
  <w:style w:type="paragraph" w:customStyle="1" w:styleId="08TableTextCenterGTable">
    <w:name w:val="08.Table.Text.Center.G (Table)"/>
    <w:basedOn w:val="Normal"/>
    <w:uiPriority w:val="99"/>
    <w:rsid w:val="00884F4E"/>
    <w:pPr>
      <w:suppressAutoHyphens/>
      <w:autoSpaceDE w:val="0"/>
      <w:autoSpaceDN w:val="0"/>
      <w:adjustRightInd w:val="0"/>
      <w:spacing w:line="200" w:lineRule="atLeast"/>
      <w:jc w:val="center"/>
      <w:textAlignment w:val="center"/>
    </w:pPr>
    <w:rPr>
      <w:rFonts w:ascii="Graphik Cond Regular" w:hAnsi="Graphik Cond Regular" w:cs="Graphik Cond 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2019-05-17T19:08:00Z</dcterms:created>
  <dcterms:modified xsi:type="dcterms:W3CDTF">2019-05-17T19:13:00Z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