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F9EFD" w14:textId="77777777" w:rsidR="00E17690" w:rsidRPr="00095353" w:rsidRDefault="00E17690" w:rsidP="00E17690">
      <w:pPr>
        <w:pStyle w:val="01BodyNoIndentGeorgiaJustify"/>
        <w:suppressAutoHyphens/>
        <w:rPr>
          <w:rStyle w:val="01GraphikboldICB"/>
          <w:rFonts w:asciiTheme="minorHAnsi" w:hAnsiTheme="minorHAnsi" w:cstheme="minorHAnsi"/>
          <w:w w:val="101"/>
          <w:sz w:val="22"/>
          <w:szCs w:val="22"/>
        </w:rPr>
      </w:pPr>
      <w:r w:rsidRPr="00095353">
        <w:rPr>
          <w:rStyle w:val="01GraphikboldICB"/>
          <w:rFonts w:asciiTheme="minorHAnsi" w:hAnsiTheme="minorHAnsi" w:cstheme="minorHAnsi"/>
          <w:w w:val="101"/>
          <w:sz w:val="22"/>
          <w:szCs w:val="22"/>
        </w:rPr>
        <w:t>Independent Banker</w:t>
      </w:r>
    </w:p>
    <w:p w14:paraId="6BE31E48" w14:textId="3434294B" w:rsidR="00E17690" w:rsidRPr="00095353" w:rsidRDefault="00884F4E" w:rsidP="00E17690">
      <w:pPr>
        <w:pStyle w:val="01BodyNoIndentGeorgiaJustify"/>
        <w:suppressAutoHyphens/>
        <w:rPr>
          <w:rStyle w:val="01GraphikboldICB"/>
          <w:rFonts w:asciiTheme="minorHAnsi" w:hAnsiTheme="minorHAnsi" w:cstheme="minorHAnsi"/>
          <w:w w:val="101"/>
          <w:sz w:val="22"/>
          <w:szCs w:val="22"/>
        </w:rPr>
      </w:pPr>
      <w:r>
        <w:rPr>
          <w:rStyle w:val="01GraphikboldICB"/>
          <w:rFonts w:asciiTheme="minorHAnsi" w:hAnsiTheme="minorHAnsi" w:cstheme="minorHAnsi"/>
          <w:w w:val="101"/>
          <w:sz w:val="22"/>
          <w:szCs w:val="22"/>
        </w:rPr>
        <w:t>Ju</w:t>
      </w:r>
      <w:r w:rsidR="008A71D4">
        <w:rPr>
          <w:rStyle w:val="01GraphikboldICB"/>
          <w:rFonts w:asciiTheme="minorHAnsi" w:hAnsiTheme="minorHAnsi" w:cstheme="minorHAnsi"/>
          <w:w w:val="101"/>
          <w:sz w:val="22"/>
          <w:szCs w:val="22"/>
        </w:rPr>
        <w:t>ly</w:t>
      </w:r>
      <w:r w:rsidR="00E17690" w:rsidRPr="00095353">
        <w:rPr>
          <w:rStyle w:val="01GraphikboldICB"/>
          <w:rFonts w:asciiTheme="minorHAnsi" w:hAnsiTheme="minorHAnsi" w:cstheme="minorHAnsi"/>
          <w:w w:val="101"/>
          <w:sz w:val="22"/>
          <w:szCs w:val="22"/>
        </w:rPr>
        <w:t xml:space="preserve"> 2019</w:t>
      </w:r>
    </w:p>
    <w:p w14:paraId="73590021" w14:textId="526E8A40" w:rsidR="00536E0E" w:rsidRPr="00095353" w:rsidRDefault="004C5086" w:rsidP="00E17690">
      <w:pPr>
        <w:pStyle w:val="01BodyNoIndentGeorgiaJustify"/>
        <w:suppressAutoHyphens/>
        <w:rPr>
          <w:rStyle w:val="01GraphikboldICB"/>
          <w:rFonts w:asciiTheme="minorHAnsi" w:hAnsiTheme="minorHAnsi" w:cstheme="minorHAnsi"/>
          <w:w w:val="101"/>
          <w:sz w:val="22"/>
          <w:szCs w:val="22"/>
        </w:rPr>
      </w:pPr>
      <w:r w:rsidRPr="00095353">
        <w:rPr>
          <w:rStyle w:val="01GraphikboldICB"/>
          <w:rFonts w:asciiTheme="minorHAnsi" w:hAnsiTheme="minorHAnsi" w:cstheme="minorHAnsi"/>
          <w:w w:val="101"/>
          <w:sz w:val="22"/>
          <w:szCs w:val="22"/>
        </w:rPr>
        <w:t xml:space="preserve">Portfolio Management by Jim </w:t>
      </w:r>
      <w:proofErr w:type="spellStart"/>
      <w:r w:rsidRPr="00095353">
        <w:rPr>
          <w:rStyle w:val="01GraphikboldICB"/>
          <w:rFonts w:asciiTheme="minorHAnsi" w:hAnsiTheme="minorHAnsi" w:cstheme="minorHAnsi"/>
          <w:w w:val="101"/>
          <w:sz w:val="22"/>
          <w:szCs w:val="22"/>
        </w:rPr>
        <w:t>Reber</w:t>
      </w:r>
      <w:proofErr w:type="spellEnd"/>
    </w:p>
    <w:p w14:paraId="1148409C" w14:textId="77777777" w:rsidR="007F4D7B" w:rsidRPr="00095353" w:rsidRDefault="007F4D7B" w:rsidP="007F4D7B">
      <w:pPr>
        <w:pStyle w:val="01BodyNoIndentGeorgiaJustify"/>
        <w:rPr>
          <w:rFonts w:asciiTheme="minorHAnsi" w:hAnsiTheme="minorHAnsi" w:cstheme="minorHAnsi"/>
          <w:b/>
          <w:bCs/>
          <w:w w:val="101"/>
          <w:sz w:val="22"/>
          <w:szCs w:val="22"/>
        </w:rPr>
      </w:pPr>
    </w:p>
    <w:p w14:paraId="0AD3E04A" w14:textId="618E5B89" w:rsidR="004C5086" w:rsidRPr="00095353" w:rsidRDefault="008A71D4" w:rsidP="004C5086">
      <w:pPr>
        <w:pStyle w:val="01BodyNoIndentGeorgiaJustify"/>
        <w:rPr>
          <w:rFonts w:asciiTheme="minorHAnsi" w:hAnsiTheme="minorHAnsi" w:cstheme="minorHAnsi"/>
          <w:b/>
          <w:bCs/>
          <w:w w:val="101"/>
          <w:sz w:val="22"/>
          <w:szCs w:val="22"/>
        </w:rPr>
      </w:pPr>
      <w:r>
        <w:rPr>
          <w:rFonts w:asciiTheme="minorHAnsi" w:hAnsiTheme="minorHAnsi" w:cstheme="minorHAnsi"/>
          <w:b/>
          <w:bCs/>
          <w:w w:val="101"/>
          <w:sz w:val="22"/>
          <w:szCs w:val="22"/>
        </w:rPr>
        <w:t>Shucking convention</w:t>
      </w:r>
    </w:p>
    <w:p w14:paraId="2ABB6DE3" w14:textId="77777777" w:rsidR="00E17690" w:rsidRPr="00095353" w:rsidRDefault="00E17690" w:rsidP="00E17690">
      <w:pPr>
        <w:pStyle w:val="01BodyNoIndentGeorgiaJustify"/>
        <w:suppressAutoHyphens/>
        <w:rPr>
          <w:rStyle w:val="01GraphikboldICB"/>
          <w:rFonts w:asciiTheme="minorHAnsi" w:hAnsiTheme="minorHAnsi" w:cstheme="minorHAnsi"/>
          <w:w w:val="101"/>
          <w:sz w:val="22"/>
          <w:szCs w:val="22"/>
        </w:rPr>
      </w:pPr>
    </w:p>
    <w:p w14:paraId="53407DBD" w14:textId="77777777" w:rsidR="008A71D4" w:rsidRPr="008A71D4" w:rsidRDefault="008A71D4" w:rsidP="008A71D4">
      <w:pPr>
        <w:rPr>
          <w:rFonts w:cstheme="minorHAnsi"/>
          <w:color w:val="000000" w:themeColor="text1"/>
          <w:sz w:val="18"/>
          <w:szCs w:val="18"/>
        </w:rPr>
      </w:pPr>
      <w:r w:rsidRPr="008A71D4">
        <w:rPr>
          <w:rFonts w:cstheme="minorHAnsi"/>
          <w:color w:val="000000" w:themeColor="text1"/>
          <w:sz w:val="18"/>
          <w:szCs w:val="18"/>
        </w:rPr>
        <w:t xml:space="preserve">No surprises here. Adjustable-rate securities have performed as hoped since 2016. </w:t>
      </w:r>
    </w:p>
    <w:p w14:paraId="3B1EDF17" w14:textId="77777777" w:rsidR="004C5086" w:rsidRPr="00095353" w:rsidRDefault="004C5086" w:rsidP="004C5086">
      <w:pPr>
        <w:rPr>
          <w:rFonts w:cstheme="minorHAnsi"/>
          <w:b/>
          <w:bCs/>
          <w:color w:val="000000"/>
          <w:w w:val="101"/>
          <w:sz w:val="22"/>
          <w:szCs w:val="22"/>
        </w:rPr>
      </w:pPr>
    </w:p>
    <w:p w14:paraId="060B176E" w14:textId="18823D97" w:rsidR="008A71D4" w:rsidRPr="008A71D4" w:rsidRDefault="008A71D4" w:rsidP="008A71D4">
      <w:pPr>
        <w:rPr>
          <w:rFonts w:cstheme="minorHAnsi"/>
          <w:i/>
          <w:iCs/>
          <w:color w:val="000000"/>
          <w:sz w:val="18"/>
          <w:szCs w:val="18"/>
        </w:rPr>
      </w:pPr>
      <w:r w:rsidRPr="008A71D4">
        <w:rPr>
          <w:rFonts w:cstheme="minorHAnsi"/>
          <w:i/>
          <w:iCs/>
          <w:color w:val="000000"/>
          <w:sz w:val="18"/>
          <w:szCs w:val="18"/>
        </w:rPr>
        <w:t>H</w:t>
      </w:r>
      <w:r w:rsidRPr="008A71D4">
        <w:rPr>
          <w:rFonts w:cstheme="minorHAnsi"/>
          <w:i/>
          <w:iCs/>
          <w:color w:val="000000"/>
          <w:sz w:val="18"/>
          <w:szCs w:val="18"/>
        </w:rPr>
        <w:t xml:space="preserve">e was a bold man that first ate an oyster.” </w:t>
      </w:r>
      <w:r w:rsidRPr="008A71D4">
        <w:rPr>
          <w:rFonts w:cstheme="minorHAnsi"/>
          <w:color w:val="000000"/>
          <w:sz w:val="18"/>
          <w:szCs w:val="18"/>
        </w:rPr>
        <w:t>—Jonathan Swift, 1702</w:t>
      </w:r>
    </w:p>
    <w:p w14:paraId="728E78FA" w14:textId="77777777" w:rsidR="008A71D4" w:rsidRPr="008A71D4" w:rsidRDefault="008A71D4" w:rsidP="008A71D4">
      <w:pPr>
        <w:rPr>
          <w:rFonts w:cstheme="minorHAnsi"/>
          <w:color w:val="000000"/>
          <w:sz w:val="18"/>
          <w:szCs w:val="18"/>
        </w:rPr>
      </w:pPr>
      <w:r w:rsidRPr="008A71D4">
        <w:rPr>
          <w:rFonts w:cstheme="minorHAnsi"/>
          <w:i/>
          <w:iCs/>
          <w:color w:val="000000"/>
          <w:sz w:val="18"/>
          <w:szCs w:val="18"/>
        </w:rPr>
        <w:t xml:space="preserve">“It was a bold investor that purchased floating-rate securities three years ago.” </w:t>
      </w:r>
      <w:r w:rsidRPr="008A71D4">
        <w:rPr>
          <w:rFonts w:cstheme="minorHAnsi"/>
          <w:color w:val="000000"/>
          <w:sz w:val="18"/>
          <w:szCs w:val="18"/>
        </w:rPr>
        <w:t xml:space="preserve">—Jim </w:t>
      </w:r>
      <w:proofErr w:type="spellStart"/>
      <w:r w:rsidRPr="008A71D4">
        <w:rPr>
          <w:rFonts w:cstheme="minorHAnsi"/>
          <w:color w:val="000000"/>
          <w:sz w:val="18"/>
          <w:szCs w:val="18"/>
        </w:rPr>
        <w:t>Reber</w:t>
      </w:r>
      <w:proofErr w:type="spellEnd"/>
      <w:r w:rsidRPr="008A71D4">
        <w:rPr>
          <w:rFonts w:cstheme="minorHAnsi"/>
          <w:color w:val="000000"/>
          <w:sz w:val="18"/>
          <w:szCs w:val="18"/>
        </w:rPr>
        <w:t>, 2019</w:t>
      </w:r>
    </w:p>
    <w:p w14:paraId="5EC3FA7E" w14:textId="77777777" w:rsidR="008A71D4" w:rsidRPr="008A71D4" w:rsidRDefault="008A71D4" w:rsidP="008A71D4">
      <w:pPr>
        <w:rPr>
          <w:rFonts w:cstheme="minorHAnsi"/>
          <w:color w:val="000000"/>
          <w:sz w:val="18"/>
          <w:szCs w:val="18"/>
        </w:rPr>
      </w:pPr>
      <w:r w:rsidRPr="008A71D4">
        <w:rPr>
          <w:rFonts w:cstheme="minorHAnsi"/>
          <w:color w:val="000000"/>
          <w:sz w:val="18"/>
          <w:szCs w:val="18"/>
        </w:rPr>
        <w:t>The first statement we accept as avuncular truth. The second invites scrutiny. After all, as 2016 dawned, it appeared we had entered an interest rate environment that would have lent itself to short-term securities. The Fed made its first adjustment to overnight rates in December 2015, moving Fed funds up to 0.5%. It was poised to do more of the same.</w:t>
      </w:r>
    </w:p>
    <w:p w14:paraId="1F6D8E5D" w14:textId="77777777" w:rsidR="008A71D4" w:rsidRPr="008A71D4" w:rsidRDefault="008A71D4" w:rsidP="008A71D4">
      <w:pPr>
        <w:rPr>
          <w:rFonts w:cstheme="minorHAnsi"/>
          <w:color w:val="000000"/>
          <w:sz w:val="18"/>
          <w:szCs w:val="18"/>
        </w:rPr>
      </w:pPr>
      <w:r w:rsidRPr="008A71D4">
        <w:rPr>
          <w:rFonts w:cstheme="minorHAnsi"/>
          <w:color w:val="000000"/>
          <w:sz w:val="18"/>
          <w:szCs w:val="18"/>
        </w:rPr>
        <w:t>The backdrop, however, offered less clarity. Although GDP averaged 2.9% in 2015, it had begun tailing off in the second half of the year and was up only 0.4% in the fourth quarter. Core inflation was also well under 2%. So, it was altogether uncertain that rising rates would, in fact, prevail in 2016.</w:t>
      </w:r>
    </w:p>
    <w:p w14:paraId="48FB506A" w14:textId="77777777" w:rsidR="008A71D4" w:rsidRPr="008A71D4" w:rsidRDefault="008A71D4" w:rsidP="008A71D4">
      <w:pPr>
        <w:rPr>
          <w:rFonts w:cstheme="minorHAnsi"/>
          <w:color w:val="000000"/>
          <w:sz w:val="18"/>
          <w:szCs w:val="18"/>
        </w:rPr>
      </w:pPr>
      <w:r w:rsidRPr="008A71D4">
        <w:rPr>
          <w:rFonts w:cstheme="minorHAnsi"/>
          <w:color w:val="000000"/>
          <w:sz w:val="18"/>
          <w:szCs w:val="18"/>
        </w:rPr>
        <w:t xml:space="preserve">Add to that an interest rate curve that was still quite steep throughout the year. This ensured that short-term investments would yield a lot less than longer ones, at least at the outset. Finally, it wasn’t cheap to buy floating-rate bonds back then. Newly issued adjustable-rate, mortgage-backed securities (ARMs), even those that didn’t actually float for 36 to 60 months, came to market with 103.00+ prices. </w:t>
      </w:r>
    </w:p>
    <w:p w14:paraId="6C48C90C" w14:textId="77777777" w:rsidR="008A71D4" w:rsidRPr="008A71D4" w:rsidRDefault="008A71D4" w:rsidP="008A71D4">
      <w:pPr>
        <w:rPr>
          <w:rFonts w:cstheme="minorHAnsi"/>
          <w:color w:val="000000"/>
          <w:sz w:val="18"/>
          <w:szCs w:val="18"/>
        </w:rPr>
      </w:pPr>
      <w:r w:rsidRPr="008A71D4">
        <w:rPr>
          <w:rFonts w:cstheme="minorHAnsi"/>
          <w:color w:val="000000"/>
          <w:sz w:val="18"/>
          <w:szCs w:val="18"/>
        </w:rPr>
        <w:t>Remember also that deposits were still cheap but becoming harder to find, and loan demand had returned full force. Investment portfolios were at best holding steady, if not shrinking. A busy portfolio manager could be excused for not focusing on adjustable-rate securities.</w:t>
      </w:r>
    </w:p>
    <w:p w14:paraId="3F55C9B2" w14:textId="77777777" w:rsidR="008A71D4" w:rsidRPr="008A71D4" w:rsidRDefault="008A71D4" w:rsidP="008A71D4">
      <w:pPr>
        <w:rPr>
          <w:rFonts w:cstheme="minorHAnsi"/>
          <w:b/>
          <w:bCs/>
          <w:color w:val="000000"/>
          <w:sz w:val="18"/>
          <w:szCs w:val="18"/>
        </w:rPr>
      </w:pPr>
    </w:p>
    <w:p w14:paraId="592780B6" w14:textId="77777777" w:rsidR="008A71D4" w:rsidRPr="008A71D4" w:rsidRDefault="008A71D4" w:rsidP="008A71D4">
      <w:pPr>
        <w:rPr>
          <w:rFonts w:cstheme="minorHAnsi"/>
          <w:b/>
          <w:bCs/>
          <w:color w:val="000000"/>
          <w:sz w:val="18"/>
          <w:szCs w:val="18"/>
        </w:rPr>
      </w:pPr>
      <w:r w:rsidRPr="008A71D4">
        <w:rPr>
          <w:rFonts w:cstheme="minorHAnsi"/>
          <w:b/>
          <w:bCs/>
          <w:color w:val="000000"/>
          <w:sz w:val="18"/>
          <w:szCs w:val="18"/>
        </w:rPr>
        <w:t>Up to date</w:t>
      </w:r>
    </w:p>
    <w:p w14:paraId="5B81B828" w14:textId="77777777" w:rsidR="008A71D4" w:rsidRPr="008A71D4" w:rsidRDefault="008A71D4" w:rsidP="008A71D4">
      <w:pPr>
        <w:rPr>
          <w:rFonts w:cstheme="minorHAnsi"/>
          <w:color w:val="000000"/>
          <w:sz w:val="18"/>
          <w:szCs w:val="18"/>
        </w:rPr>
      </w:pPr>
      <w:r w:rsidRPr="008A71D4">
        <w:rPr>
          <w:rFonts w:cstheme="minorHAnsi"/>
          <w:color w:val="000000"/>
          <w:sz w:val="18"/>
          <w:szCs w:val="18"/>
        </w:rPr>
        <w:t xml:space="preserve">It turns out that 2016 wasn’t the year for interest rates to break out. The Fed hiked rates only once, and that was in December. Anything out on the yield curve barely budged. The 2-to-10 slope actually steepened by 3 basis points (0.03%). </w:t>
      </w:r>
      <w:proofErr w:type="gramStart"/>
      <w:r w:rsidRPr="008A71D4">
        <w:rPr>
          <w:rFonts w:cstheme="minorHAnsi"/>
          <w:color w:val="000000"/>
          <w:sz w:val="18"/>
          <w:szCs w:val="18"/>
        </w:rPr>
        <w:t>So</w:t>
      </w:r>
      <w:proofErr w:type="gramEnd"/>
      <w:r w:rsidRPr="008A71D4">
        <w:rPr>
          <w:rFonts w:cstheme="minorHAnsi"/>
          <w:color w:val="000000"/>
          <w:sz w:val="18"/>
          <w:szCs w:val="18"/>
        </w:rPr>
        <w:t xml:space="preserve"> do floating-rate buyers now wish they hadn’t thrown caution (and yield) to the wind by being conservative?</w:t>
      </w:r>
    </w:p>
    <w:p w14:paraId="1A82C1E8" w14:textId="77777777" w:rsidR="008A71D4" w:rsidRPr="008A71D4" w:rsidRDefault="008A71D4" w:rsidP="008A71D4">
      <w:pPr>
        <w:rPr>
          <w:rFonts w:cstheme="minorHAnsi"/>
          <w:color w:val="000000"/>
          <w:sz w:val="18"/>
          <w:szCs w:val="18"/>
        </w:rPr>
      </w:pPr>
      <w:r w:rsidRPr="008A71D4">
        <w:rPr>
          <w:rFonts w:cstheme="minorHAnsi"/>
          <w:color w:val="000000"/>
          <w:sz w:val="18"/>
          <w:szCs w:val="18"/>
        </w:rPr>
        <w:t xml:space="preserve">As we may now have entered an idle phase in the current monetary policy drama, and it’s been nearly four (!) years since the </w:t>
      </w:r>
      <w:proofErr w:type="gramStart"/>
      <w:r w:rsidRPr="008A71D4">
        <w:rPr>
          <w:rFonts w:cstheme="minorHAnsi"/>
          <w:color w:val="000000"/>
          <w:sz w:val="18"/>
          <w:szCs w:val="18"/>
        </w:rPr>
        <w:t>first rate</w:t>
      </w:r>
      <w:proofErr w:type="gramEnd"/>
      <w:r w:rsidRPr="008A71D4">
        <w:rPr>
          <w:rFonts w:cstheme="minorHAnsi"/>
          <w:color w:val="000000"/>
          <w:sz w:val="18"/>
          <w:szCs w:val="18"/>
        </w:rPr>
        <w:t xml:space="preserve"> hike of the cycle, we have some documentation about the performance of our investment holdings during this period. While the current level of short-term rates is still far below a typical stopping-off point, we have seen a relatively typical yield curve shape for the latter stages of a tightening policy.</w:t>
      </w:r>
    </w:p>
    <w:p w14:paraId="25559FEC" w14:textId="77777777" w:rsidR="008A71D4" w:rsidRPr="008A71D4" w:rsidRDefault="008A71D4" w:rsidP="008A71D4">
      <w:pPr>
        <w:rPr>
          <w:rFonts w:cstheme="minorHAnsi"/>
          <w:b/>
          <w:bCs/>
          <w:color w:val="000000"/>
          <w:sz w:val="18"/>
          <w:szCs w:val="18"/>
        </w:rPr>
      </w:pPr>
    </w:p>
    <w:p w14:paraId="60E4F4E1" w14:textId="77777777" w:rsidR="008A71D4" w:rsidRPr="008A71D4" w:rsidRDefault="008A71D4" w:rsidP="008A71D4">
      <w:pPr>
        <w:rPr>
          <w:rFonts w:cstheme="minorHAnsi"/>
          <w:b/>
          <w:bCs/>
          <w:color w:val="000000"/>
          <w:sz w:val="18"/>
          <w:szCs w:val="18"/>
        </w:rPr>
      </w:pPr>
      <w:r w:rsidRPr="008A71D4">
        <w:rPr>
          <w:rFonts w:cstheme="minorHAnsi"/>
          <w:b/>
          <w:bCs/>
          <w:color w:val="000000"/>
          <w:sz w:val="18"/>
          <w:szCs w:val="18"/>
        </w:rPr>
        <w:t>ARMs have legs</w:t>
      </w:r>
    </w:p>
    <w:p w14:paraId="4A9334E7" w14:textId="77777777" w:rsidR="008A71D4" w:rsidRPr="008A71D4" w:rsidRDefault="008A71D4" w:rsidP="008A71D4">
      <w:pPr>
        <w:rPr>
          <w:rFonts w:cstheme="minorHAnsi"/>
          <w:color w:val="000000"/>
          <w:sz w:val="18"/>
          <w:szCs w:val="18"/>
        </w:rPr>
      </w:pPr>
      <w:r w:rsidRPr="008A71D4">
        <w:rPr>
          <w:rFonts w:cstheme="minorHAnsi"/>
          <w:color w:val="000000"/>
          <w:sz w:val="18"/>
          <w:szCs w:val="18"/>
        </w:rPr>
        <w:t>As one example of a security that could be owned by your bank, let’s examine Fannie Mae pool BM4569. It’s known as a “Mega,” which is a pool-of-pools, most of which came to life in 2011. These pools each had a “5/1” structure, meaning they had a fixed rate for five years, after which they began to adjust annually. So, the surviving loans (which are about 12% of the originals) have been free to float for about three years.</w:t>
      </w:r>
    </w:p>
    <w:p w14:paraId="0C61619B" w14:textId="77777777" w:rsidR="008A71D4" w:rsidRPr="008A71D4" w:rsidRDefault="008A71D4" w:rsidP="008A71D4">
      <w:pPr>
        <w:rPr>
          <w:rFonts w:cstheme="minorHAnsi"/>
          <w:color w:val="000000"/>
          <w:sz w:val="18"/>
          <w:szCs w:val="18"/>
        </w:rPr>
      </w:pPr>
      <w:r w:rsidRPr="008A71D4">
        <w:rPr>
          <w:rFonts w:cstheme="minorHAnsi"/>
          <w:color w:val="000000"/>
          <w:sz w:val="18"/>
          <w:szCs w:val="18"/>
        </w:rPr>
        <w:t xml:space="preserve">During this time, the pass-through coupon on this security has risen from 3.08% to 4.48%. Some portion of the collateral loans will reset every month, with the “weighted average roll” date about six months out. As this seasoned pool is now fully indexed, it will continue to stay on market. These current floaters have retained their value, as the coupon rate listed above is quite attractive in today’s market. These pools can command market prices in the 104.00 range. </w:t>
      </w:r>
    </w:p>
    <w:p w14:paraId="0EEA2910" w14:textId="77777777" w:rsidR="008A71D4" w:rsidRPr="008A71D4" w:rsidRDefault="008A71D4" w:rsidP="008A71D4">
      <w:pPr>
        <w:rPr>
          <w:rFonts w:cstheme="minorHAnsi"/>
          <w:b/>
          <w:bCs/>
          <w:color w:val="000000"/>
          <w:sz w:val="18"/>
          <w:szCs w:val="18"/>
        </w:rPr>
      </w:pPr>
    </w:p>
    <w:p w14:paraId="483615AA" w14:textId="77777777" w:rsidR="008A71D4" w:rsidRPr="008A71D4" w:rsidRDefault="008A71D4" w:rsidP="008A71D4">
      <w:pPr>
        <w:rPr>
          <w:rFonts w:cstheme="minorHAnsi"/>
          <w:b/>
          <w:bCs/>
          <w:color w:val="000000"/>
          <w:sz w:val="18"/>
          <w:szCs w:val="18"/>
        </w:rPr>
      </w:pPr>
      <w:r w:rsidRPr="008A71D4">
        <w:rPr>
          <w:rFonts w:cstheme="minorHAnsi"/>
          <w:b/>
          <w:bCs/>
          <w:color w:val="000000"/>
          <w:sz w:val="18"/>
          <w:szCs w:val="18"/>
        </w:rPr>
        <w:t>Glad they did</w:t>
      </w:r>
    </w:p>
    <w:p w14:paraId="5DEA0634" w14:textId="77777777" w:rsidR="008A71D4" w:rsidRPr="008A71D4" w:rsidRDefault="008A71D4" w:rsidP="008A71D4">
      <w:pPr>
        <w:rPr>
          <w:rFonts w:cstheme="minorHAnsi"/>
          <w:color w:val="000000"/>
          <w:sz w:val="18"/>
          <w:szCs w:val="18"/>
        </w:rPr>
      </w:pPr>
      <w:r w:rsidRPr="008A71D4">
        <w:rPr>
          <w:rFonts w:cstheme="minorHAnsi"/>
          <w:color w:val="000000"/>
          <w:sz w:val="18"/>
          <w:szCs w:val="18"/>
        </w:rPr>
        <w:t xml:space="preserve">Other floaters that have stayed on market include true money-market alternatives, such as collateralized mortgage obligation (CMO) floaters. These will reset monthly, with no annual caps. Most of these have enjoyed their coupons improving from the low 1%s to the low 3%s. And, of course, prime-based adjusters, namely Small Business Administration (SBA) pools, have moved lock-step with Fed funds through what is now nine rate hikes totaling 2.25%. </w:t>
      </w:r>
    </w:p>
    <w:p w14:paraId="75FCE4DC" w14:textId="77777777" w:rsidR="008A71D4" w:rsidRPr="008A71D4" w:rsidRDefault="008A71D4" w:rsidP="008A71D4">
      <w:pPr>
        <w:rPr>
          <w:rFonts w:cstheme="minorHAnsi"/>
          <w:color w:val="000000"/>
          <w:sz w:val="18"/>
          <w:szCs w:val="18"/>
        </w:rPr>
      </w:pPr>
      <w:proofErr w:type="gramStart"/>
      <w:r w:rsidRPr="008A71D4">
        <w:rPr>
          <w:rFonts w:cstheme="minorHAnsi"/>
          <w:color w:val="000000"/>
          <w:sz w:val="18"/>
          <w:szCs w:val="18"/>
        </w:rPr>
        <w:t>So</w:t>
      </w:r>
      <w:proofErr w:type="gramEnd"/>
      <w:r w:rsidRPr="008A71D4">
        <w:rPr>
          <w:rFonts w:cstheme="minorHAnsi"/>
          <w:color w:val="000000"/>
          <w:sz w:val="18"/>
          <w:szCs w:val="18"/>
        </w:rPr>
        <w:t xml:space="preserve"> the question remains: Have those who invested in floating-rate securities several years ago been rewarded or punished for being conservative? The ARM example above certainly demonstrates that yields will improve, and prices can be relatively insulated against rising rates, with floating-rate instruments. SBAs and CMO floaters have been even more responsive to general rate changes. I would contend that </w:t>
      </w:r>
      <w:proofErr w:type="spellStart"/>
      <w:r w:rsidRPr="008A71D4">
        <w:rPr>
          <w:rFonts w:cstheme="minorHAnsi"/>
          <w:color w:val="000000"/>
          <w:sz w:val="18"/>
          <w:szCs w:val="18"/>
        </w:rPr>
        <w:t>adjustables</w:t>
      </w:r>
      <w:proofErr w:type="spellEnd"/>
      <w:r w:rsidRPr="008A71D4">
        <w:rPr>
          <w:rFonts w:cstheme="minorHAnsi"/>
          <w:color w:val="000000"/>
          <w:sz w:val="18"/>
          <w:szCs w:val="18"/>
        </w:rPr>
        <w:t xml:space="preserve"> have done their job through this part of the interest rate cycle.</w:t>
      </w:r>
    </w:p>
    <w:p w14:paraId="176A3B32" w14:textId="19D03A0A" w:rsidR="00884F4E" w:rsidRPr="008A71D4" w:rsidRDefault="008A71D4" w:rsidP="008A71D4">
      <w:pPr>
        <w:rPr>
          <w:rFonts w:cstheme="minorHAnsi"/>
          <w:color w:val="000000"/>
          <w:w w:val="101"/>
          <w:sz w:val="22"/>
          <w:szCs w:val="22"/>
        </w:rPr>
      </w:pPr>
      <w:r w:rsidRPr="008A71D4">
        <w:rPr>
          <w:rFonts w:cstheme="minorHAnsi"/>
          <w:color w:val="000000"/>
          <w:sz w:val="18"/>
          <w:szCs w:val="18"/>
        </w:rPr>
        <w:t>Sometimes, being bold—whether in one’s gastronomic or investment choices—pays off</w:t>
      </w:r>
      <w:r>
        <w:rPr>
          <w:rFonts w:cstheme="minorHAnsi"/>
          <w:color w:val="000000"/>
          <w:sz w:val="18"/>
          <w:szCs w:val="18"/>
        </w:rPr>
        <w:t>.</w:t>
      </w:r>
    </w:p>
    <w:p w14:paraId="4A0293D9" w14:textId="77777777" w:rsidR="00884F4E" w:rsidRDefault="00884F4E" w:rsidP="004C5086">
      <w:pPr>
        <w:rPr>
          <w:rFonts w:cstheme="minorHAnsi"/>
          <w:b/>
          <w:bCs/>
          <w:color w:val="000000"/>
          <w:w w:val="101"/>
          <w:sz w:val="22"/>
          <w:szCs w:val="22"/>
        </w:rPr>
      </w:pPr>
    </w:p>
    <w:p w14:paraId="77434FC4" w14:textId="616DBD43" w:rsidR="004C5086" w:rsidRPr="00095353" w:rsidRDefault="004C5086" w:rsidP="004C5086">
      <w:pPr>
        <w:rPr>
          <w:rFonts w:cstheme="minorHAnsi"/>
          <w:b/>
          <w:bCs/>
          <w:color w:val="000000"/>
          <w:w w:val="101"/>
          <w:sz w:val="22"/>
          <w:szCs w:val="22"/>
        </w:rPr>
      </w:pPr>
      <w:r w:rsidRPr="00095353">
        <w:rPr>
          <w:rFonts w:cstheme="minorHAnsi"/>
          <w:b/>
          <w:bCs/>
          <w:color w:val="000000"/>
          <w:w w:val="101"/>
          <w:sz w:val="22"/>
          <w:szCs w:val="22"/>
        </w:rPr>
        <w:t>Education on Tap</w:t>
      </w:r>
    </w:p>
    <w:p w14:paraId="29139640" w14:textId="77777777" w:rsidR="00095353" w:rsidRPr="00095353" w:rsidRDefault="00095353" w:rsidP="004C5086">
      <w:pPr>
        <w:rPr>
          <w:rFonts w:cstheme="minorHAnsi"/>
          <w:b/>
          <w:bCs/>
          <w:color w:val="000000"/>
          <w:w w:val="101"/>
          <w:sz w:val="22"/>
          <w:szCs w:val="22"/>
        </w:rPr>
      </w:pPr>
    </w:p>
    <w:p w14:paraId="11A02F84" w14:textId="67578959" w:rsidR="00884F4E" w:rsidRPr="008A71D4" w:rsidRDefault="008A71D4" w:rsidP="00884F4E">
      <w:pPr>
        <w:pStyle w:val="03sidebarGraphikRegNoIndentsidebar"/>
        <w:rPr>
          <w:rFonts w:asciiTheme="majorHAnsi" w:hAnsiTheme="majorHAnsi" w:cstheme="majorHAnsi"/>
          <w:b/>
          <w:bCs/>
          <w:sz w:val="20"/>
          <w:szCs w:val="20"/>
        </w:rPr>
      </w:pPr>
      <w:r w:rsidRPr="008A71D4">
        <w:rPr>
          <w:rFonts w:asciiTheme="majorHAnsi" w:hAnsiTheme="majorHAnsi" w:cstheme="majorHAnsi"/>
          <w:b/>
          <w:bCs/>
          <w:sz w:val="20"/>
          <w:szCs w:val="20"/>
        </w:rPr>
        <w:lastRenderedPageBreak/>
        <w:t>Sector snapshots</w:t>
      </w:r>
    </w:p>
    <w:p w14:paraId="565EF390" w14:textId="77777777" w:rsidR="008A71D4" w:rsidRPr="008A71D4" w:rsidRDefault="008A71D4" w:rsidP="008A71D4">
      <w:pPr>
        <w:rPr>
          <w:rFonts w:asciiTheme="majorHAnsi" w:hAnsiTheme="majorHAnsi" w:cstheme="majorHAnsi"/>
          <w:b/>
          <w:bCs/>
          <w:sz w:val="22"/>
          <w:szCs w:val="22"/>
        </w:rPr>
      </w:pPr>
      <w:r w:rsidRPr="008A71D4">
        <w:rPr>
          <w:rFonts w:asciiTheme="majorHAnsi" w:hAnsiTheme="majorHAnsi" w:cstheme="majorHAnsi"/>
          <w:sz w:val="18"/>
          <w:szCs w:val="18"/>
        </w:rPr>
        <w:t xml:space="preserve">ICBA Securities’ exclusive broker, Vining Sparks, publishes its Weekly Sector Update each Monday. It provides commentary and current market analysis on each community bank investment sector, including ARMs, SBAs and CMOs. To receive yours, visit </w:t>
      </w:r>
      <w:r w:rsidRPr="008A71D4">
        <w:rPr>
          <w:rFonts w:asciiTheme="majorHAnsi" w:hAnsiTheme="majorHAnsi" w:cstheme="majorHAnsi"/>
          <w:i/>
          <w:iCs/>
          <w:sz w:val="18"/>
          <w:szCs w:val="18"/>
        </w:rPr>
        <w:t>viningsparks.com</w:t>
      </w:r>
      <w:r w:rsidRPr="008A71D4">
        <w:rPr>
          <w:rFonts w:asciiTheme="majorHAnsi" w:hAnsiTheme="majorHAnsi" w:cstheme="majorHAnsi"/>
          <w:sz w:val="18"/>
          <w:szCs w:val="18"/>
        </w:rPr>
        <w:t xml:space="preserve"> or contact your Vining Sparks sales rep</w:t>
      </w:r>
      <w:r w:rsidRPr="008A71D4">
        <w:rPr>
          <w:rFonts w:asciiTheme="majorHAnsi" w:hAnsiTheme="majorHAnsi" w:cstheme="majorHAnsi"/>
          <w:b/>
          <w:bCs/>
          <w:sz w:val="22"/>
          <w:szCs w:val="22"/>
        </w:rPr>
        <w:t xml:space="preserve">. </w:t>
      </w:r>
    </w:p>
    <w:p w14:paraId="4D4E1A74" w14:textId="77777777" w:rsidR="00884F4E" w:rsidRDefault="00884F4E" w:rsidP="00884F4E">
      <w:pPr>
        <w:rPr>
          <w:rFonts w:cstheme="minorHAnsi"/>
          <w:b/>
          <w:bCs/>
          <w:color w:val="000000"/>
          <w:sz w:val="18"/>
          <w:szCs w:val="18"/>
        </w:rPr>
      </w:pPr>
    </w:p>
    <w:p w14:paraId="0D42A774" w14:textId="0CD95610" w:rsidR="00884F4E" w:rsidRPr="00884F4E" w:rsidRDefault="008A71D4" w:rsidP="00884F4E">
      <w:pPr>
        <w:rPr>
          <w:rFonts w:cstheme="minorHAnsi"/>
          <w:b/>
          <w:bCs/>
          <w:color w:val="000000"/>
          <w:sz w:val="18"/>
          <w:szCs w:val="18"/>
        </w:rPr>
      </w:pPr>
      <w:r>
        <w:rPr>
          <w:rFonts w:cstheme="minorHAnsi"/>
          <w:b/>
          <w:bCs/>
          <w:color w:val="000000"/>
          <w:sz w:val="18"/>
          <w:szCs w:val="18"/>
        </w:rPr>
        <w:t>Busy July for state conventions</w:t>
      </w:r>
    </w:p>
    <w:p w14:paraId="27F6F74E" w14:textId="40644B7B" w:rsidR="00884F4E" w:rsidRPr="008A71D4" w:rsidRDefault="008A71D4" w:rsidP="00095353">
      <w:pPr>
        <w:rPr>
          <w:rFonts w:cstheme="minorHAnsi"/>
          <w:color w:val="000000"/>
          <w:sz w:val="18"/>
          <w:szCs w:val="18"/>
        </w:rPr>
      </w:pPr>
      <w:r w:rsidRPr="008A71D4">
        <w:rPr>
          <w:rFonts w:cstheme="minorHAnsi"/>
          <w:color w:val="000000"/>
          <w:sz w:val="18"/>
          <w:szCs w:val="18"/>
        </w:rPr>
        <w:t xml:space="preserve">ICBA Securities will attend, sponsor and speak at six ICBA state affiliates’ annual conventions this July. Visit </w:t>
      </w:r>
      <w:r w:rsidRPr="008A71D4">
        <w:rPr>
          <w:rFonts w:cstheme="minorHAnsi"/>
          <w:b/>
          <w:bCs/>
          <w:i/>
          <w:iCs/>
          <w:color w:val="000000"/>
          <w:sz w:val="18"/>
          <w:szCs w:val="18"/>
        </w:rPr>
        <w:t>icbasecurities.com/</w:t>
      </w:r>
      <w:proofErr w:type="spellStart"/>
      <w:r w:rsidRPr="008A71D4">
        <w:rPr>
          <w:rFonts w:cstheme="minorHAnsi"/>
          <w:b/>
          <w:bCs/>
          <w:i/>
          <w:iCs/>
          <w:color w:val="000000"/>
          <w:sz w:val="18"/>
          <w:szCs w:val="18"/>
        </w:rPr>
        <w:t>seminarswebinars</w:t>
      </w:r>
      <w:proofErr w:type="spellEnd"/>
      <w:r w:rsidRPr="008A71D4">
        <w:rPr>
          <w:rFonts w:cstheme="minorHAnsi"/>
          <w:b/>
          <w:bCs/>
          <w:i/>
          <w:iCs/>
          <w:color w:val="000000"/>
          <w:sz w:val="18"/>
          <w:szCs w:val="18"/>
        </w:rPr>
        <w:t xml:space="preserve"> </w:t>
      </w:r>
      <w:r w:rsidRPr="008A71D4">
        <w:rPr>
          <w:rFonts w:cstheme="minorHAnsi"/>
          <w:color w:val="000000"/>
          <w:sz w:val="18"/>
          <w:szCs w:val="18"/>
        </w:rPr>
        <w:t>for a calendar of our upcoming appearances.</w:t>
      </w:r>
      <w:bookmarkStart w:id="0" w:name="_GoBack"/>
      <w:bookmarkEnd w:id="0"/>
    </w:p>
    <w:p w14:paraId="2ACD11EA" w14:textId="1834FBE7" w:rsidR="00884F4E" w:rsidRDefault="00884F4E" w:rsidP="00095353">
      <w:pPr>
        <w:rPr>
          <w:rFonts w:cstheme="minorHAnsi"/>
          <w:sz w:val="22"/>
          <w:szCs w:val="22"/>
        </w:rPr>
      </w:pPr>
    </w:p>
    <w:p w14:paraId="4F825F35" w14:textId="77777777" w:rsidR="00884F4E" w:rsidRPr="00884F4E" w:rsidRDefault="00884F4E" w:rsidP="00884F4E">
      <w:pPr>
        <w:rPr>
          <w:rFonts w:cstheme="minorHAnsi"/>
          <w:sz w:val="22"/>
          <w:szCs w:val="22"/>
        </w:rPr>
      </w:pPr>
      <w:r w:rsidRPr="00884F4E">
        <w:rPr>
          <w:rFonts w:cstheme="minorHAnsi"/>
          <w:sz w:val="22"/>
          <w:szCs w:val="22"/>
        </w:rPr>
        <w:t xml:space="preserve">Jim </w:t>
      </w:r>
      <w:proofErr w:type="spellStart"/>
      <w:r w:rsidRPr="00884F4E">
        <w:rPr>
          <w:rFonts w:cstheme="minorHAnsi"/>
          <w:sz w:val="22"/>
          <w:szCs w:val="22"/>
        </w:rPr>
        <w:t>Reber</w:t>
      </w:r>
      <w:proofErr w:type="spellEnd"/>
      <w:r w:rsidRPr="00884F4E">
        <w:rPr>
          <w:rFonts w:cstheme="minorHAnsi"/>
          <w:sz w:val="22"/>
          <w:szCs w:val="22"/>
        </w:rPr>
        <w:t>, CPA, CFA (</w:t>
      </w:r>
      <w:r w:rsidRPr="00884F4E">
        <w:rPr>
          <w:rFonts w:cstheme="minorHAnsi"/>
          <w:i/>
          <w:iCs/>
          <w:sz w:val="22"/>
          <w:szCs w:val="22"/>
        </w:rPr>
        <w:t>jreber@icbasecurities.com</w:t>
      </w:r>
      <w:r w:rsidRPr="00884F4E">
        <w:rPr>
          <w:rFonts w:cstheme="minorHAnsi"/>
          <w:sz w:val="22"/>
          <w:szCs w:val="22"/>
        </w:rPr>
        <w:t>), is president and CEO of ICBA Securities, ICBA’s institutional, fixed-income broker-dealer for community banks</w:t>
      </w:r>
    </w:p>
    <w:p w14:paraId="43B081BE" w14:textId="77777777" w:rsidR="00884F4E" w:rsidRPr="00095353" w:rsidRDefault="00884F4E" w:rsidP="00095353">
      <w:pPr>
        <w:rPr>
          <w:rFonts w:cstheme="minorHAnsi"/>
          <w:sz w:val="22"/>
          <w:szCs w:val="22"/>
        </w:rPr>
      </w:pPr>
    </w:p>
    <w:sectPr w:rsidR="00884F4E" w:rsidRPr="00095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Pro-Regular">
    <w:altName w:val="Calibri"/>
    <w:panose1 w:val="02040502050405020303"/>
    <w:charset w:val="00"/>
    <w:family w:val="roman"/>
    <w:notTrueType/>
    <w:pitch w:val="variable"/>
    <w:sig w:usb0="A00002EF" w:usb1="4000685B" w:usb2="00000000" w:usb3="00000000" w:csb0="0000009F" w:csb1="00000000"/>
  </w:font>
  <w:font w:name="Graphik-Bold">
    <w:altName w:val="Calibri"/>
    <w:panose1 w:val="020B0803030202060203"/>
    <w:charset w:val="00"/>
    <w:family w:val="swiss"/>
    <w:notTrueType/>
    <w:pitch w:val="variable"/>
    <w:sig w:usb0="A000002F" w:usb1="4000045A" w:usb2="00000000" w:usb3="00000000" w:csb0="00000093" w:csb1="00000000"/>
  </w:font>
  <w:font w:name="Graphik-Medium">
    <w:altName w:val="Calibri"/>
    <w:panose1 w:val="020B0603030202060203"/>
    <w:charset w:val="00"/>
    <w:family w:val="swiss"/>
    <w:notTrueType/>
    <w:pitch w:val="variable"/>
    <w:sig w:usb0="A000002F" w:usb1="4000045A" w:usb2="00000000" w:usb3="00000000" w:csb0="00000093" w:csb1="00000000"/>
  </w:font>
  <w:font w:name="Georgia Pro">
    <w:panose1 w:val="02040502050405020303"/>
    <w:charset w:val="00"/>
    <w:family w:val="roman"/>
    <w:notTrueType/>
    <w:pitch w:val="variable"/>
    <w:sig w:usb0="A00002EF" w:usb1="4000685B" w:usb2="00000000" w:usb3="00000000" w:csb0="0000009F" w:csb1="00000000"/>
  </w:font>
  <w:font w:name="Graphik Bold">
    <w:altName w:val="Graphik"/>
    <w:panose1 w:val="020B0803030202060203"/>
    <w:charset w:val="4D"/>
    <w:family w:val="auto"/>
    <w:notTrueType/>
    <w:pitch w:val="default"/>
    <w:sig w:usb0="00000003" w:usb1="00000000" w:usb2="00000000" w:usb3="00000000" w:csb0="00000001" w:csb1="00000000"/>
  </w:font>
  <w:font w:name="Graphik Semibold">
    <w:panose1 w:val="020B0703030202060203"/>
    <w:charset w:val="00"/>
    <w:family w:val="swiss"/>
    <w:notTrueType/>
    <w:pitch w:val="variable"/>
    <w:sig w:usb0="A000002F" w:usb1="4000045A" w:usb2="00000000" w:usb3="00000000" w:csb0="00000093" w:csb1="00000000"/>
  </w:font>
  <w:font w:name="Graphik Regular">
    <w:altName w:val="Graphik"/>
    <w:panose1 w:val="020B0503030202060203"/>
    <w:charset w:val="4D"/>
    <w:family w:val="auto"/>
    <w:notTrueType/>
    <w:pitch w:val="default"/>
    <w:sig w:usb0="00000003" w:usb1="00000000" w:usb2="00000000" w:usb3="00000000" w:csb0="00000001" w:csb1="00000000"/>
  </w:font>
  <w:font w:name="Graphik Cond Regular">
    <w:altName w:val="Graphik Cond"/>
    <w:panose1 w:val="01000302020000010002"/>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C4565"/>
    <w:multiLevelType w:val="hybridMultilevel"/>
    <w:tmpl w:val="DD00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8704D4"/>
    <w:multiLevelType w:val="hybridMultilevel"/>
    <w:tmpl w:val="CB38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90"/>
    <w:rsid w:val="00004C71"/>
    <w:rsid w:val="000205C0"/>
    <w:rsid w:val="00034747"/>
    <w:rsid w:val="00095353"/>
    <w:rsid w:val="000B5FE1"/>
    <w:rsid w:val="000D658E"/>
    <w:rsid w:val="000F242E"/>
    <w:rsid w:val="00130660"/>
    <w:rsid w:val="00132BFF"/>
    <w:rsid w:val="00140489"/>
    <w:rsid w:val="0015379F"/>
    <w:rsid w:val="00153FAB"/>
    <w:rsid w:val="0017240B"/>
    <w:rsid w:val="001F5360"/>
    <w:rsid w:val="001F5EFE"/>
    <w:rsid w:val="002608A7"/>
    <w:rsid w:val="002706D7"/>
    <w:rsid w:val="002716C0"/>
    <w:rsid w:val="002823CD"/>
    <w:rsid w:val="002D55DF"/>
    <w:rsid w:val="002E587F"/>
    <w:rsid w:val="00300468"/>
    <w:rsid w:val="00353E51"/>
    <w:rsid w:val="003622B6"/>
    <w:rsid w:val="0038568A"/>
    <w:rsid w:val="003C2571"/>
    <w:rsid w:val="003D0EE6"/>
    <w:rsid w:val="004074DC"/>
    <w:rsid w:val="00477671"/>
    <w:rsid w:val="004C5086"/>
    <w:rsid w:val="004E165B"/>
    <w:rsid w:val="004F3978"/>
    <w:rsid w:val="00535254"/>
    <w:rsid w:val="00536E0E"/>
    <w:rsid w:val="005B610A"/>
    <w:rsid w:val="006035A8"/>
    <w:rsid w:val="00651958"/>
    <w:rsid w:val="00663F6F"/>
    <w:rsid w:val="00666F7A"/>
    <w:rsid w:val="006A22D0"/>
    <w:rsid w:val="00704F41"/>
    <w:rsid w:val="0072266E"/>
    <w:rsid w:val="00744CB1"/>
    <w:rsid w:val="00753434"/>
    <w:rsid w:val="00764BC9"/>
    <w:rsid w:val="007C4FF2"/>
    <w:rsid w:val="007F1B4C"/>
    <w:rsid w:val="007F4D7B"/>
    <w:rsid w:val="0081697B"/>
    <w:rsid w:val="00834AF4"/>
    <w:rsid w:val="00856102"/>
    <w:rsid w:val="008575E5"/>
    <w:rsid w:val="0086020A"/>
    <w:rsid w:val="00884F4E"/>
    <w:rsid w:val="008A71D4"/>
    <w:rsid w:val="008B0ACD"/>
    <w:rsid w:val="008E7011"/>
    <w:rsid w:val="00903E5F"/>
    <w:rsid w:val="00923EF3"/>
    <w:rsid w:val="009423B8"/>
    <w:rsid w:val="00970829"/>
    <w:rsid w:val="009846CB"/>
    <w:rsid w:val="009B4B9C"/>
    <w:rsid w:val="009B6048"/>
    <w:rsid w:val="009B7DEE"/>
    <w:rsid w:val="00A14857"/>
    <w:rsid w:val="00A71DA3"/>
    <w:rsid w:val="00AC3E4B"/>
    <w:rsid w:val="00AF116A"/>
    <w:rsid w:val="00B027CD"/>
    <w:rsid w:val="00B049CD"/>
    <w:rsid w:val="00B06BE3"/>
    <w:rsid w:val="00B45788"/>
    <w:rsid w:val="00B55F4B"/>
    <w:rsid w:val="00B5668F"/>
    <w:rsid w:val="00B6436E"/>
    <w:rsid w:val="00B959A6"/>
    <w:rsid w:val="00BA0ABF"/>
    <w:rsid w:val="00BD0BFB"/>
    <w:rsid w:val="00BD7ABD"/>
    <w:rsid w:val="00C2729E"/>
    <w:rsid w:val="00C53367"/>
    <w:rsid w:val="00C6147B"/>
    <w:rsid w:val="00C65EA9"/>
    <w:rsid w:val="00C848EA"/>
    <w:rsid w:val="00CB038F"/>
    <w:rsid w:val="00CB5476"/>
    <w:rsid w:val="00CE414D"/>
    <w:rsid w:val="00CE47AF"/>
    <w:rsid w:val="00CF7C6C"/>
    <w:rsid w:val="00D24124"/>
    <w:rsid w:val="00D32813"/>
    <w:rsid w:val="00D47420"/>
    <w:rsid w:val="00D65D89"/>
    <w:rsid w:val="00D877EC"/>
    <w:rsid w:val="00DC11CD"/>
    <w:rsid w:val="00DE1C41"/>
    <w:rsid w:val="00E02813"/>
    <w:rsid w:val="00E143F6"/>
    <w:rsid w:val="00E17690"/>
    <w:rsid w:val="00E431CA"/>
    <w:rsid w:val="00E636DF"/>
    <w:rsid w:val="00F257B8"/>
    <w:rsid w:val="00F41F3E"/>
    <w:rsid w:val="00F448EC"/>
    <w:rsid w:val="00F63903"/>
    <w:rsid w:val="00F74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E13B"/>
  <w15:chartTrackingRefBased/>
  <w15:docId w15:val="{63EF0FE3-E83C-4498-A200-DDB99CAF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690"/>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BodyNoIndentGeorgiaJustify">
    <w:name w:val="01.Body.NoIndent.Georgia.Justify"/>
    <w:basedOn w:val="Normal"/>
    <w:uiPriority w:val="99"/>
    <w:rsid w:val="00E17690"/>
    <w:pPr>
      <w:autoSpaceDE w:val="0"/>
      <w:autoSpaceDN w:val="0"/>
      <w:adjustRightInd w:val="0"/>
      <w:spacing w:line="240" w:lineRule="atLeast"/>
      <w:jc w:val="both"/>
      <w:textAlignment w:val="center"/>
    </w:pPr>
    <w:rPr>
      <w:rFonts w:ascii="GeorgiaPro-Regular" w:hAnsi="GeorgiaPro-Regular" w:cs="GeorgiaPro-Regular"/>
      <w:color w:val="000000"/>
      <w:sz w:val="18"/>
      <w:szCs w:val="18"/>
    </w:rPr>
  </w:style>
  <w:style w:type="character" w:customStyle="1" w:styleId="01GraphikboldICB">
    <w:name w:val="01.Graphik.bold.ICB"/>
    <w:uiPriority w:val="99"/>
    <w:rsid w:val="00E17690"/>
    <w:rPr>
      <w:rFonts w:ascii="Graphik-Bold" w:hAnsi="Graphik-Bold" w:cs="Graphik-Bold"/>
      <w:b/>
      <w:bCs/>
      <w:u w:val="none"/>
      <w:vertAlign w:val="baseline"/>
    </w:rPr>
  </w:style>
  <w:style w:type="paragraph" w:customStyle="1" w:styleId="05QuoteGraphikMed2024">
    <w:name w:val="05.Quote.Graphik.Med.20/24"/>
    <w:basedOn w:val="Normal"/>
    <w:uiPriority w:val="99"/>
    <w:rsid w:val="00E17690"/>
    <w:pPr>
      <w:suppressAutoHyphens/>
      <w:autoSpaceDE w:val="0"/>
      <w:autoSpaceDN w:val="0"/>
      <w:adjustRightInd w:val="0"/>
      <w:spacing w:line="480" w:lineRule="atLeast"/>
      <w:textAlignment w:val="center"/>
    </w:pPr>
    <w:rPr>
      <w:rFonts w:ascii="Graphik-Medium" w:hAnsi="Graphik-Medium" w:cs="Graphik-Medium"/>
      <w:color w:val="000000"/>
      <w:sz w:val="40"/>
      <w:szCs w:val="40"/>
      <w:u w:val="thick" w:color="002DD6"/>
    </w:rPr>
  </w:style>
  <w:style w:type="paragraph" w:styleId="BalloonText">
    <w:name w:val="Balloon Text"/>
    <w:basedOn w:val="Normal"/>
    <w:link w:val="BalloonTextChar"/>
    <w:uiPriority w:val="99"/>
    <w:semiHidden/>
    <w:unhideWhenUsed/>
    <w:rsid w:val="00903E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3E5F"/>
    <w:rPr>
      <w:rFonts w:ascii="Times New Roman" w:hAnsi="Times New Roman" w:cs="Times New Roman"/>
      <w:sz w:val="18"/>
      <w:szCs w:val="18"/>
    </w:rPr>
  </w:style>
  <w:style w:type="paragraph" w:styleId="ListParagraph">
    <w:name w:val="List Paragraph"/>
    <w:basedOn w:val="Normal"/>
    <w:uiPriority w:val="34"/>
    <w:qFormat/>
    <w:rsid w:val="00C6147B"/>
    <w:pPr>
      <w:ind w:left="720"/>
      <w:contextualSpacing/>
    </w:pPr>
  </w:style>
  <w:style w:type="paragraph" w:customStyle="1" w:styleId="01BodyIndentGeorgiaJustify">
    <w:name w:val="01.Body.Indent.Georgia.Justify"/>
    <w:basedOn w:val="Normal"/>
    <w:uiPriority w:val="99"/>
    <w:rsid w:val="00095353"/>
    <w:pPr>
      <w:autoSpaceDE w:val="0"/>
      <w:autoSpaceDN w:val="0"/>
      <w:adjustRightInd w:val="0"/>
      <w:spacing w:line="240" w:lineRule="atLeast"/>
      <w:ind w:firstLine="180"/>
      <w:jc w:val="both"/>
      <w:textAlignment w:val="center"/>
    </w:pPr>
    <w:rPr>
      <w:rFonts w:ascii="Georgia Pro" w:hAnsi="Georgia Pro" w:cs="Georgia Pro"/>
      <w:color w:val="000000"/>
      <w:sz w:val="18"/>
      <w:szCs w:val="18"/>
    </w:rPr>
  </w:style>
  <w:style w:type="paragraph" w:customStyle="1" w:styleId="01BodyNoIndentGeorgiaJustifyDrop">
    <w:name w:val="01.Body.NoIndent.Georgia.Justify Drop"/>
    <w:basedOn w:val="Normal"/>
    <w:uiPriority w:val="99"/>
    <w:rsid w:val="00095353"/>
    <w:pPr>
      <w:autoSpaceDE w:val="0"/>
      <w:autoSpaceDN w:val="0"/>
      <w:adjustRightInd w:val="0"/>
      <w:spacing w:line="240" w:lineRule="atLeast"/>
      <w:jc w:val="both"/>
      <w:textAlignment w:val="center"/>
    </w:pPr>
    <w:rPr>
      <w:rFonts w:ascii="Georgia Pro" w:hAnsi="Georgia Pro" w:cs="Georgia Pro"/>
      <w:color w:val="000000"/>
      <w:sz w:val="18"/>
      <w:szCs w:val="18"/>
    </w:rPr>
  </w:style>
  <w:style w:type="character" w:customStyle="1" w:styleId="01Graphikbold">
    <w:name w:val="01.Graphik.bold"/>
    <w:uiPriority w:val="99"/>
    <w:rsid w:val="00095353"/>
    <w:rPr>
      <w:rFonts w:ascii="Graphik Bold" w:hAnsi="Graphik Bold" w:cs="Graphik Bold"/>
      <w:b/>
      <w:bCs/>
      <w:u w:val="none"/>
      <w:vertAlign w:val="baseline"/>
    </w:rPr>
  </w:style>
  <w:style w:type="paragraph" w:customStyle="1" w:styleId="03DekGraphikSemibold">
    <w:name w:val="03.Dek.GraphikSemibold"/>
    <w:basedOn w:val="Normal"/>
    <w:uiPriority w:val="99"/>
    <w:rsid w:val="00095353"/>
    <w:pPr>
      <w:suppressAutoHyphens/>
      <w:autoSpaceDE w:val="0"/>
      <w:autoSpaceDN w:val="0"/>
      <w:adjustRightInd w:val="0"/>
      <w:spacing w:line="240" w:lineRule="atLeast"/>
      <w:jc w:val="both"/>
      <w:textAlignment w:val="center"/>
    </w:pPr>
    <w:rPr>
      <w:rFonts w:ascii="Graphik Semibold" w:hAnsi="Graphik Semibold" w:cs="Graphik Semibold"/>
      <w:color w:val="000000"/>
      <w:sz w:val="18"/>
      <w:szCs w:val="18"/>
    </w:rPr>
  </w:style>
  <w:style w:type="character" w:customStyle="1" w:styleId="03DekTeal">
    <w:name w:val="03.Dek.Teal"/>
    <w:uiPriority w:val="99"/>
    <w:rsid w:val="00095353"/>
    <w:rPr>
      <w:color w:val="42B5C9"/>
    </w:rPr>
  </w:style>
  <w:style w:type="paragraph" w:customStyle="1" w:styleId="03sidebarGraphikRegNoIndentsidebar">
    <w:name w:val="03.sidebar.GraphikReg.NoIndent (sidebar)"/>
    <w:basedOn w:val="Normal"/>
    <w:uiPriority w:val="99"/>
    <w:rsid w:val="00095353"/>
    <w:pPr>
      <w:suppressAutoHyphens/>
      <w:autoSpaceDE w:val="0"/>
      <w:autoSpaceDN w:val="0"/>
      <w:adjustRightInd w:val="0"/>
      <w:spacing w:line="240" w:lineRule="atLeast"/>
      <w:textAlignment w:val="center"/>
    </w:pPr>
    <w:rPr>
      <w:rFonts w:ascii="Graphik Regular" w:hAnsi="Graphik Regular" w:cs="Graphik Regular"/>
      <w:color w:val="000000"/>
      <w:sz w:val="18"/>
      <w:szCs w:val="18"/>
    </w:rPr>
  </w:style>
  <w:style w:type="character" w:customStyle="1" w:styleId="01Graphikbolditalic">
    <w:name w:val="01.Graphik.bold.italic"/>
    <w:uiPriority w:val="99"/>
    <w:rsid w:val="00095353"/>
    <w:rPr>
      <w:rFonts w:ascii="Graphik Bold" w:hAnsi="Graphik Bold" w:cs="Graphik Bold"/>
      <w:b/>
      <w:bCs/>
      <w:i/>
      <w:iCs/>
      <w:u w:val="none"/>
      <w:vertAlign w:val="baseline"/>
    </w:rPr>
  </w:style>
  <w:style w:type="paragraph" w:customStyle="1" w:styleId="03sidebarheadGraphikBoldNoIndent12">
    <w:name w:val="03.sidebar.head.GraphikBold.NoIndent.12"/>
    <w:basedOn w:val="Normal"/>
    <w:uiPriority w:val="99"/>
    <w:rsid w:val="00884F4E"/>
    <w:pPr>
      <w:autoSpaceDE w:val="0"/>
      <w:autoSpaceDN w:val="0"/>
      <w:adjustRightInd w:val="0"/>
      <w:spacing w:line="240" w:lineRule="atLeast"/>
      <w:textAlignment w:val="center"/>
    </w:pPr>
    <w:rPr>
      <w:rFonts w:ascii="Graphik Bold" w:hAnsi="Graphik Bold" w:cs="Graphik Bold"/>
      <w:b/>
      <w:bCs/>
      <w:color w:val="000000"/>
    </w:rPr>
  </w:style>
  <w:style w:type="paragraph" w:customStyle="1" w:styleId="08TableTextCenterGTable">
    <w:name w:val="08.Table.Text.Center.G (Table)"/>
    <w:basedOn w:val="Normal"/>
    <w:uiPriority w:val="99"/>
    <w:rsid w:val="00884F4E"/>
    <w:pPr>
      <w:suppressAutoHyphens/>
      <w:autoSpaceDE w:val="0"/>
      <w:autoSpaceDN w:val="0"/>
      <w:adjustRightInd w:val="0"/>
      <w:spacing w:line="200" w:lineRule="atLeast"/>
      <w:jc w:val="center"/>
      <w:textAlignment w:val="center"/>
    </w:pPr>
    <w:rPr>
      <w:rFonts w:ascii="Graphik Cond Regular" w:hAnsi="Graphik Cond Regular" w:cs="Graphik Cond Regula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46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6F3F40B893A8438FDAFECBEBEF3679" ma:contentTypeVersion="8" ma:contentTypeDescription="Create a new document." ma:contentTypeScope="" ma:versionID="59be5c7fcfb616211285739f703fb3a4">
  <xsd:schema xmlns:xsd="http://www.w3.org/2001/XMLSchema" xmlns:xs="http://www.w3.org/2001/XMLSchema" xmlns:p="http://schemas.microsoft.com/office/2006/metadata/properties" xmlns:ns2="f3052132-7631-4bf8-9303-fc804c90d88f" xmlns:ns3="0c2bd550-716e-42bf-a496-06b194d1b80a" targetNamespace="http://schemas.microsoft.com/office/2006/metadata/properties" ma:root="true" ma:fieldsID="946aafcda72d4d50fa7e33e27ee3006a" ns2:_="" ns3:_="">
    <xsd:import namespace="f3052132-7631-4bf8-9303-fc804c90d88f"/>
    <xsd:import namespace="0c2bd550-716e-42bf-a496-06b194d1b8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52132-7631-4bf8-9303-fc804c90d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bd550-716e-42bf-a496-06b194d1b8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BD8FC3-B78A-4978-8726-4FB580FDAA52}">
  <ds:schemaRef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0c2bd550-716e-42bf-a496-06b194d1b80a"/>
    <ds:schemaRef ds:uri="http://purl.org/dc/terms/"/>
    <ds:schemaRef ds:uri="http://schemas.openxmlformats.org/package/2006/metadata/core-properties"/>
    <ds:schemaRef ds:uri="f3052132-7631-4bf8-9303-fc804c90d88f"/>
  </ds:schemaRefs>
</ds:datastoreItem>
</file>

<file path=customXml/itemProps2.xml><?xml version="1.0" encoding="utf-8"?>
<ds:datastoreItem xmlns:ds="http://schemas.openxmlformats.org/officeDocument/2006/customXml" ds:itemID="{12275D71-65F2-48D1-830F-CD7495EC6638}">
  <ds:schemaRefs>
    <ds:schemaRef ds:uri="http://schemas.microsoft.com/sharepoint/v3/contenttype/forms"/>
  </ds:schemaRefs>
</ds:datastoreItem>
</file>

<file path=customXml/itemProps3.xml><?xml version="1.0" encoding="utf-8"?>
<ds:datastoreItem xmlns:ds="http://schemas.openxmlformats.org/officeDocument/2006/customXml" ds:itemID="{3C90C3C1-4117-4B70-AE87-FA84BA6A9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52132-7631-4bf8-9303-fc804c90d88f"/>
    <ds:schemaRef ds:uri="0c2bd550-716e-42bf-a496-06b194d1b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Aleis Stokes</dc:creator>
  <cp:keywords/>
  <dc:description/>
  <cp:lastModifiedBy>Rebecca Lubecki</cp:lastModifiedBy>
  <cp:revision>3</cp:revision>
  <dcterms:created xsi:type="dcterms:W3CDTF">2019-06-20T20:20:00Z</dcterms:created>
  <dcterms:modified xsi:type="dcterms:W3CDTF">2019-06-20T20:23:00Z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0x010100496F3F40B893A8438FDAFECBEBEF3679</vt:lpwstr>
  </property>
</Properties>
</file>