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4869" w14:textId="77777777" w:rsidR="002E29B9" w:rsidRPr="005E71B0" w:rsidRDefault="002E29B9" w:rsidP="002E29B9">
      <w:pPr>
        <w:tabs>
          <w:tab w:val="left" w:pos="540"/>
          <w:tab w:val="left" w:pos="2550"/>
        </w:tabs>
        <w:spacing w:after="240" w:line="276" w:lineRule="auto"/>
        <w:rPr>
          <w:rStyle w:val="ICBAbold"/>
        </w:rPr>
      </w:pPr>
      <w:r w:rsidRPr="005E71B0">
        <w:rPr>
          <w:rStyle w:val="ICBAbold"/>
        </w:rPr>
        <w:t>Independent Banker</w:t>
      </w:r>
    </w:p>
    <w:p w14:paraId="08AEA3EA" w14:textId="77777777" w:rsidR="002E29B9" w:rsidRPr="005E71B0" w:rsidRDefault="002E29B9" w:rsidP="002E29B9">
      <w:pPr>
        <w:tabs>
          <w:tab w:val="left" w:pos="540"/>
          <w:tab w:val="left" w:pos="2550"/>
        </w:tabs>
        <w:spacing w:after="240" w:line="276" w:lineRule="auto"/>
        <w:rPr>
          <w:rStyle w:val="ICBAbold"/>
        </w:rPr>
      </w:pPr>
      <w:r w:rsidRPr="005E71B0">
        <w:rPr>
          <w:rStyle w:val="ICBAbold"/>
        </w:rPr>
        <w:t>June 2024</w:t>
      </w:r>
    </w:p>
    <w:p w14:paraId="2ED2EB3A" w14:textId="77777777" w:rsidR="002E29B9" w:rsidRPr="005E71B0" w:rsidRDefault="002E29B9" w:rsidP="002E29B9">
      <w:pPr>
        <w:tabs>
          <w:tab w:val="left" w:pos="540"/>
          <w:tab w:val="left" w:pos="2550"/>
        </w:tabs>
        <w:spacing w:after="240" w:line="276" w:lineRule="auto"/>
        <w:rPr>
          <w:rStyle w:val="ICBAbold"/>
          <w:bCs/>
        </w:rPr>
      </w:pPr>
      <w:r w:rsidRPr="005E71B0">
        <w:rPr>
          <w:rStyle w:val="ICBAbold"/>
          <w:bCs/>
        </w:rPr>
        <w:t xml:space="preserve">Portfolio </w:t>
      </w:r>
    </w:p>
    <w:p w14:paraId="6C96D1C8" w14:textId="77777777" w:rsidR="002E29B9" w:rsidRPr="005E71B0" w:rsidRDefault="002E29B9" w:rsidP="002E29B9">
      <w:pPr>
        <w:tabs>
          <w:tab w:val="left" w:pos="540"/>
          <w:tab w:val="left" w:pos="2550"/>
        </w:tabs>
        <w:spacing w:after="240" w:line="276" w:lineRule="auto"/>
        <w:rPr>
          <w:rStyle w:val="ICBAbold"/>
          <w:bCs/>
        </w:rPr>
      </w:pPr>
      <w:r w:rsidRPr="005E71B0">
        <w:rPr>
          <w:rStyle w:val="ICBAbold"/>
          <w:color w:val="FF0000"/>
        </w:rPr>
        <w:t xml:space="preserve">[tag] </w:t>
      </w:r>
      <w:r w:rsidRPr="005E71B0">
        <w:rPr>
          <w:rStyle w:val="ICBAbold"/>
          <w:bCs/>
        </w:rPr>
        <w:t>Portfolio Management</w:t>
      </w:r>
    </w:p>
    <w:p w14:paraId="70FACAF5" w14:textId="77777777" w:rsidR="002E29B9" w:rsidRPr="005E71B0" w:rsidRDefault="002E29B9" w:rsidP="002E29B9">
      <w:pPr>
        <w:tabs>
          <w:tab w:val="left" w:pos="540"/>
        </w:tabs>
        <w:spacing w:after="240" w:line="276" w:lineRule="auto"/>
        <w:rPr>
          <w:b/>
        </w:rPr>
      </w:pPr>
      <w:r w:rsidRPr="005E71B0">
        <w:rPr>
          <w:rStyle w:val="ICBAbold"/>
          <w:color w:val="FF0000"/>
        </w:rPr>
        <w:t xml:space="preserve">[hed] </w:t>
      </w:r>
      <w:r w:rsidRPr="005E71B0">
        <w:rPr>
          <w:b/>
        </w:rPr>
        <w:t>The Fed loosens up</w:t>
      </w:r>
    </w:p>
    <w:p w14:paraId="60490905" w14:textId="727FC62E" w:rsidR="002E29B9" w:rsidRPr="005E71B0" w:rsidRDefault="002E29B9" w:rsidP="002E29B9">
      <w:pPr>
        <w:tabs>
          <w:tab w:val="left" w:pos="540"/>
        </w:tabs>
        <w:spacing w:after="240" w:line="276" w:lineRule="auto"/>
      </w:pPr>
      <w:r w:rsidRPr="005E71B0">
        <w:rPr>
          <w:rStyle w:val="ICBAbold"/>
          <w:color w:val="FF0000"/>
        </w:rPr>
        <w:t xml:space="preserve">[dek] </w:t>
      </w:r>
      <w:r w:rsidRPr="005E71B0">
        <w:t xml:space="preserve">A slowdown in </w:t>
      </w:r>
      <w:r>
        <w:t>quantitative tightening</w:t>
      </w:r>
      <w:r w:rsidRPr="005E71B0">
        <w:t xml:space="preserve"> has an element of policy easing.</w:t>
      </w:r>
    </w:p>
    <w:p w14:paraId="6CEBF3EF" w14:textId="77777777" w:rsidR="002E29B9" w:rsidRPr="005E71B0" w:rsidRDefault="002E29B9" w:rsidP="002E29B9">
      <w:pPr>
        <w:tabs>
          <w:tab w:val="left" w:pos="540"/>
        </w:tabs>
        <w:spacing w:after="240" w:line="276" w:lineRule="auto"/>
        <w:rPr>
          <w:rStyle w:val="ICBAbold"/>
        </w:rPr>
      </w:pPr>
      <w:r w:rsidRPr="005E71B0">
        <w:rPr>
          <w:rStyle w:val="ICBAbold"/>
          <w:color w:val="FF0000"/>
        </w:rPr>
        <w:t xml:space="preserve">[byline] </w:t>
      </w:r>
      <w:r w:rsidRPr="005E71B0">
        <w:rPr>
          <w:rStyle w:val="ICBAbold"/>
        </w:rPr>
        <w:t>By Jim Reber, ICBA Securities</w:t>
      </w:r>
    </w:p>
    <w:p w14:paraId="32F9FFFA" w14:textId="2AE2D756" w:rsidR="002E29B9" w:rsidRPr="005E71B0" w:rsidRDefault="002E29B9" w:rsidP="002E29B9">
      <w:pPr>
        <w:tabs>
          <w:tab w:val="left" w:pos="540"/>
        </w:tabs>
        <w:spacing w:after="240" w:line="276" w:lineRule="auto"/>
        <w:rPr>
          <w:rStyle w:val="ICBAbold"/>
          <w:b w:val="0"/>
          <w:bCs/>
        </w:rPr>
      </w:pPr>
      <w:r w:rsidRPr="005E71B0">
        <w:rPr>
          <w:rStyle w:val="ICBAbold"/>
          <w:b w:val="0"/>
          <w:bCs/>
        </w:rPr>
        <w:t xml:space="preserve">Running in the background, </w:t>
      </w:r>
      <w:r w:rsidRPr="00243ED6">
        <w:rPr>
          <w:rStyle w:val="ICBAbold"/>
          <w:b w:val="0"/>
          <w:bCs/>
        </w:rPr>
        <w:t xml:space="preserve">ambient noise, </w:t>
      </w:r>
      <w:r w:rsidRPr="005E71B0">
        <w:rPr>
          <w:rStyle w:val="ICBAbold"/>
          <w:b w:val="0"/>
          <w:bCs/>
        </w:rPr>
        <w:t xml:space="preserve">under the radar, off the grid, afterthought—these terms have at least the connotation of being insignificant or immaterial. I, for one, would rather be visible or noticed, particularly if I’m doing something morally and ethically acceptable. And yet, over the </w:t>
      </w:r>
      <w:r>
        <w:rPr>
          <w:rStyle w:val="ICBAbold"/>
          <w:b w:val="0"/>
          <w:bCs/>
        </w:rPr>
        <w:t>p</w:t>
      </w:r>
      <w:r w:rsidRPr="005E71B0">
        <w:rPr>
          <w:rStyle w:val="ICBAbold"/>
          <w:b w:val="0"/>
          <w:bCs/>
        </w:rPr>
        <w:t xml:space="preserve">ast two years, the Fed has quietly executed a strategy that has increased the possibility of a recession, without precipitating a hard landing. It also—impressively, by my reckoning—has decreased the likelihood of another spike in inflation. </w:t>
      </w:r>
    </w:p>
    <w:p w14:paraId="3BDDDFBB" w14:textId="19A94A9F" w:rsidR="002E29B9" w:rsidRDefault="002E29B9" w:rsidP="002E29B9">
      <w:pPr>
        <w:tabs>
          <w:tab w:val="left" w:pos="540"/>
        </w:tabs>
        <w:spacing w:after="240" w:line="276" w:lineRule="auto"/>
        <w:rPr>
          <w:rStyle w:val="ICBAbold"/>
          <w:b w:val="0"/>
          <w:bCs/>
        </w:rPr>
      </w:pPr>
      <w:r w:rsidRPr="005E71B0">
        <w:rPr>
          <w:rStyle w:val="ICBAbold"/>
          <w:b w:val="0"/>
          <w:bCs/>
        </w:rPr>
        <w:t xml:space="preserve">Not many people have noticed that the Fed has shrunk its balance sheet by nearly 20% since 2022. To be sure, </w:t>
      </w:r>
      <w:r>
        <w:rPr>
          <w:rStyle w:val="ICBAbold"/>
          <w:b w:val="0"/>
          <w:bCs/>
        </w:rPr>
        <w:t>c</w:t>
      </w:r>
      <w:r w:rsidRPr="005E71B0">
        <w:rPr>
          <w:rStyle w:val="ICBAbold"/>
          <w:b w:val="0"/>
          <w:bCs/>
        </w:rPr>
        <w:t xml:space="preserve">hairman Jay Powell told us several years ago it was time to start unwinding the massive buildup of quantitative easing (QE) that really kicked into gear in March 2020 as the nation and world fell </w:t>
      </w:r>
      <w:r>
        <w:rPr>
          <w:rStyle w:val="ICBAbold"/>
          <w:b w:val="0"/>
          <w:bCs/>
        </w:rPr>
        <w:t>into</w:t>
      </w:r>
      <w:r w:rsidRPr="005E71B0">
        <w:rPr>
          <w:rStyle w:val="ICBAbold"/>
          <w:b w:val="0"/>
          <w:bCs/>
        </w:rPr>
        <w:t xml:space="preserve"> the grip of the pandemic. </w:t>
      </w:r>
    </w:p>
    <w:p w14:paraId="49DCCE77" w14:textId="0EA080EB" w:rsidR="002E29B9" w:rsidRDefault="002E29B9" w:rsidP="002E29B9">
      <w:pPr>
        <w:tabs>
          <w:tab w:val="left" w:pos="540"/>
        </w:tabs>
        <w:spacing w:after="240" w:line="276" w:lineRule="auto"/>
        <w:rPr>
          <w:rStyle w:val="ICBAbold"/>
          <w:b w:val="0"/>
          <w:bCs/>
        </w:rPr>
      </w:pPr>
      <w:r w:rsidRPr="005E71B0">
        <w:rPr>
          <w:rStyle w:val="ICBAbold"/>
          <w:b w:val="0"/>
          <w:bCs/>
        </w:rPr>
        <w:t>The size and scope of that bond-buying spree is still quite remarkable. In barely 90 days between March and June</w:t>
      </w:r>
      <w:r>
        <w:rPr>
          <w:rStyle w:val="ICBAbold"/>
          <w:b w:val="0"/>
          <w:bCs/>
        </w:rPr>
        <w:t xml:space="preserve"> 2020</w:t>
      </w:r>
      <w:r w:rsidRPr="005E71B0">
        <w:rPr>
          <w:rStyle w:val="ICBAbold"/>
          <w:b w:val="0"/>
          <w:bCs/>
        </w:rPr>
        <w:t>, the Fed grew its balance sheet</w:t>
      </w:r>
      <w:r>
        <w:rPr>
          <w:rStyle w:val="ICBAbold"/>
          <w:b w:val="0"/>
          <w:bCs/>
        </w:rPr>
        <w:t xml:space="preserve"> by</w:t>
      </w:r>
      <w:r w:rsidRPr="005E71B0">
        <w:rPr>
          <w:rStyle w:val="ICBAbold"/>
          <w:b w:val="0"/>
          <w:bCs/>
        </w:rPr>
        <w:t xml:space="preserve"> $3 trillion.</w:t>
      </w:r>
    </w:p>
    <w:p w14:paraId="36E99AA6" w14:textId="77777777" w:rsidR="002E29B9" w:rsidRPr="005E71B0" w:rsidRDefault="002E29B9" w:rsidP="002E29B9">
      <w:pPr>
        <w:tabs>
          <w:tab w:val="left" w:pos="540"/>
        </w:tabs>
        <w:spacing w:after="240" w:line="276" w:lineRule="auto"/>
        <w:rPr>
          <w:rStyle w:val="ICBAbold"/>
          <w:b w:val="0"/>
          <w:bCs/>
        </w:rPr>
      </w:pPr>
    </w:p>
    <w:p w14:paraId="3ADEAFF7" w14:textId="50737402" w:rsidR="002E29B9" w:rsidRPr="005E71B0" w:rsidRDefault="002E29B9" w:rsidP="002E29B9">
      <w:pPr>
        <w:tabs>
          <w:tab w:val="left" w:pos="2550"/>
        </w:tabs>
        <w:spacing w:after="240" w:line="276" w:lineRule="auto"/>
        <w:rPr>
          <w:b/>
        </w:rPr>
      </w:pPr>
      <w:r w:rsidRPr="005E71B0">
        <w:rPr>
          <w:b/>
        </w:rPr>
        <w:t>[</w:t>
      </w:r>
      <w:proofErr w:type="spellStart"/>
      <w:r w:rsidRPr="005E71B0">
        <w:rPr>
          <w:b/>
        </w:rPr>
        <w:t>subhed</w:t>
      </w:r>
      <w:proofErr w:type="spellEnd"/>
      <w:r w:rsidRPr="005E71B0">
        <w:rPr>
          <w:b/>
        </w:rPr>
        <w:t xml:space="preserve">] What </w:t>
      </w:r>
      <w:r>
        <w:rPr>
          <w:b/>
        </w:rPr>
        <w:t>$3 trillion</w:t>
      </w:r>
      <w:r w:rsidRPr="005E71B0">
        <w:rPr>
          <w:b/>
        </w:rPr>
        <w:t xml:space="preserve"> gets </w:t>
      </w:r>
      <w:proofErr w:type="gramStart"/>
      <w:r w:rsidRPr="005E71B0">
        <w:rPr>
          <w:b/>
        </w:rPr>
        <w:t>you</w:t>
      </w:r>
      <w:proofErr w:type="gramEnd"/>
    </w:p>
    <w:p w14:paraId="0C117285" w14:textId="783661B7" w:rsidR="002E29B9" w:rsidRPr="005E71B0" w:rsidRDefault="002E29B9" w:rsidP="002E29B9">
      <w:pPr>
        <w:tabs>
          <w:tab w:val="left" w:pos="2550"/>
        </w:tabs>
        <w:spacing w:after="240" w:line="276" w:lineRule="auto"/>
        <w:rPr>
          <w:bCs/>
        </w:rPr>
      </w:pPr>
      <w:r w:rsidRPr="005E71B0">
        <w:rPr>
          <w:bCs/>
        </w:rPr>
        <w:t xml:space="preserve">To frame this up, $3 trillion is roughly equal to the annual gross domestic product (GDP) of the United Kingdom, the total revenue for </w:t>
      </w:r>
      <w:r>
        <w:rPr>
          <w:bCs/>
        </w:rPr>
        <w:t>the U.S.</w:t>
      </w:r>
      <w:r w:rsidRPr="005E71B0">
        <w:rPr>
          <w:bCs/>
        </w:rPr>
        <w:t xml:space="preserve"> federal government in fiscal year 2014, or the market capitalization of Microsoft.</w:t>
      </w:r>
    </w:p>
    <w:p w14:paraId="14631F5A" w14:textId="787676E8" w:rsidR="002E29B9" w:rsidRPr="005E71B0" w:rsidRDefault="002E29B9" w:rsidP="002E29B9">
      <w:pPr>
        <w:tabs>
          <w:tab w:val="left" w:pos="2550"/>
        </w:tabs>
        <w:spacing w:after="240" w:line="276" w:lineRule="auto"/>
        <w:rPr>
          <w:bCs/>
        </w:rPr>
      </w:pPr>
      <w:r>
        <w:rPr>
          <w:bCs/>
        </w:rPr>
        <w:t>L</w:t>
      </w:r>
      <w:r w:rsidRPr="005E71B0">
        <w:rPr>
          <w:bCs/>
        </w:rPr>
        <w:t>ooking back a bit further, the numbers get even more impressive. For example, the Fed’s balance sheet didn’t eclipse</w:t>
      </w:r>
      <w:r>
        <w:rPr>
          <w:bCs/>
        </w:rPr>
        <w:t xml:space="preserve"> </w:t>
      </w:r>
      <w:r w:rsidRPr="005E71B0">
        <w:rPr>
          <w:bCs/>
        </w:rPr>
        <w:t>the $1 trillion mark until 2008</w:t>
      </w:r>
      <w:r>
        <w:rPr>
          <w:bCs/>
        </w:rPr>
        <w:t>, and</w:t>
      </w:r>
      <w:r w:rsidRPr="005E71B0">
        <w:rPr>
          <w:bCs/>
        </w:rPr>
        <w:t xml:space="preserve"> </w:t>
      </w:r>
      <w:r>
        <w:rPr>
          <w:bCs/>
        </w:rPr>
        <w:t>i</w:t>
      </w:r>
      <w:r w:rsidRPr="005E71B0">
        <w:rPr>
          <w:bCs/>
        </w:rPr>
        <w:t xml:space="preserve">t </w:t>
      </w:r>
      <w:r>
        <w:rPr>
          <w:bCs/>
        </w:rPr>
        <w:t>hadn’t ever</w:t>
      </w:r>
      <w:r w:rsidRPr="005E71B0">
        <w:rPr>
          <w:bCs/>
        </w:rPr>
        <w:t xml:space="preserve"> hit $3 trillion until 2013. </w:t>
      </w:r>
      <w:r>
        <w:rPr>
          <w:bCs/>
        </w:rPr>
        <w:t>But b</w:t>
      </w:r>
      <w:r w:rsidRPr="005E71B0">
        <w:rPr>
          <w:bCs/>
        </w:rPr>
        <w:t xml:space="preserve">y the end of June 2020, it stood at $7 trillion. We all knew at the time there would be an unwinding; we just didn’t know when or how fast. </w:t>
      </w:r>
    </w:p>
    <w:p w14:paraId="39B67AAA" w14:textId="77777777" w:rsidR="002E29B9" w:rsidRDefault="002E29B9" w:rsidP="002E29B9">
      <w:pPr>
        <w:tabs>
          <w:tab w:val="left" w:pos="2550"/>
        </w:tabs>
        <w:spacing w:after="240" w:line="276" w:lineRule="auto"/>
        <w:rPr>
          <w:bCs/>
        </w:rPr>
      </w:pPr>
      <w:r w:rsidRPr="005E71B0">
        <w:rPr>
          <w:bCs/>
        </w:rPr>
        <w:t xml:space="preserve">Ultimately, assets hit $9 trillion in April 2022. That was the point that the QE phase ended, as the Fed quit buying a combination of treasuries and mortgage-backed securities (MBS), although for </w:t>
      </w:r>
      <w:r w:rsidRPr="005E71B0">
        <w:rPr>
          <w:bCs/>
        </w:rPr>
        <w:lastRenderedPageBreak/>
        <w:t xml:space="preserve">several months it continued to reinvest the maturities into similar items, so its total footings stayed constant. </w:t>
      </w:r>
    </w:p>
    <w:p w14:paraId="288CA3BA" w14:textId="77777777" w:rsidR="002E29B9" w:rsidRPr="005E71B0" w:rsidRDefault="002E29B9" w:rsidP="002E29B9">
      <w:pPr>
        <w:tabs>
          <w:tab w:val="left" w:pos="2550"/>
        </w:tabs>
        <w:spacing w:after="240" w:line="276" w:lineRule="auto"/>
        <w:rPr>
          <w:bCs/>
        </w:rPr>
      </w:pPr>
    </w:p>
    <w:p w14:paraId="3671D37D" w14:textId="77777777" w:rsidR="002E29B9" w:rsidRPr="005E71B0" w:rsidRDefault="002E29B9" w:rsidP="002E29B9">
      <w:pPr>
        <w:tabs>
          <w:tab w:val="left" w:pos="2550"/>
        </w:tabs>
        <w:spacing w:after="240" w:line="276" w:lineRule="auto"/>
        <w:rPr>
          <w:b/>
        </w:rPr>
      </w:pPr>
      <w:r w:rsidRPr="005E71B0">
        <w:rPr>
          <w:b/>
        </w:rPr>
        <w:t xml:space="preserve">[subhed] </w:t>
      </w:r>
      <w:proofErr w:type="gramStart"/>
      <w:r w:rsidRPr="005E71B0">
        <w:rPr>
          <w:b/>
        </w:rPr>
        <w:t>The</w:t>
      </w:r>
      <w:proofErr w:type="gramEnd"/>
      <w:r w:rsidRPr="005E71B0">
        <w:rPr>
          <w:b/>
        </w:rPr>
        <w:t xml:space="preserve"> great runoff</w:t>
      </w:r>
    </w:p>
    <w:p w14:paraId="47CB2FBC" w14:textId="1C2E49AE" w:rsidR="002E29B9" w:rsidRPr="005E71B0" w:rsidRDefault="002E29B9" w:rsidP="002E29B9">
      <w:pPr>
        <w:tabs>
          <w:tab w:val="left" w:pos="2550"/>
        </w:tabs>
        <w:spacing w:after="240" w:line="276" w:lineRule="auto"/>
        <w:rPr>
          <w:bCs/>
        </w:rPr>
      </w:pPr>
      <w:r w:rsidRPr="005E71B0">
        <w:rPr>
          <w:bCs/>
        </w:rPr>
        <w:t>The term quantitative tightening (QT) entered the building in mid-2022. The Fed has been running off $95 billion per month since then, and there has been no noticeable market disruption due to two factors. The first is the Fed made the announcement prior to the tapering, so the market was aware. The second is that there have been sufficient maturities in its treasury holdings t</w:t>
      </w:r>
      <w:r>
        <w:rPr>
          <w:bCs/>
        </w:rPr>
        <w:t>hat</w:t>
      </w:r>
      <w:r w:rsidRPr="005E71B0">
        <w:rPr>
          <w:bCs/>
        </w:rPr>
        <w:t xml:space="preserve"> simply let them go away.</w:t>
      </w:r>
    </w:p>
    <w:p w14:paraId="58F32A85" w14:textId="306661B2" w:rsidR="002E29B9" w:rsidRDefault="002E29B9" w:rsidP="002E29B9">
      <w:pPr>
        <w:tabs>
          <w:tab w:val="left" w:pos="2550"/>
        </w:tabs>
        <w:spacing w:after="240" w:line="276" w:lineRule="auto"/>
        <w:rPr>
          <w:bCs/>
        </w:rPr>
      </w:pPr>
      <w:r w:rsidRPr="005E71B0">
        <w:rPr>
          <w:bCs/>
        </w:rPr>
        <w:t>Still, while it appears to be unnecessary to take th</w:t>
      </w:r>
      <w:r>
        <w:rPr>
          <w:bCs/>
        </w:rPr>
        <w:t>e</w:t>
      </w:r>
      <w:r w:rsidRPr="005E71B0">
        <w:rPr>
          <w:bCs/>
        </w:rPr>
        <w:t xml:space="preserve"> drastic step</w:t>
      </w:r>
      <w:r w:rsidR="00243ED6">
        <w:rPr>
          <w:bCs/>
        </w:rPr>
        <w:t xml:space="preserve"> of outright selling securities,</w:t>
      </w:r>
      <w:r>
        <w:rPr>
          <w:bCs/>
        </w:rPr>
        <w:t xml:space="preserve"> of implementing QT</w:t>
      </w:r>
      <w:r w:rsidRPr="005E71B0">
        <w:rPr>
          <w:bCs/>
        </w:rPr>
        <w:t xml:space="preserve">, the Fed has retained its right to </w:t>
      </w:r>
      <w:r w:rsidR="00243ED6">
        <w:rPr>
          <w:bCs/>
        </w:rPr>
        <w:t>do so</w:t>
      </w:r>
      <w:r w:rsidRPr="005E71B0">
        <w:rPr>
          <w:bCs/>
        </w:rPr>
        <w:t xml:space="preserve"> if needed to get inflation back into the central bank’s comfort zone. The Fed has been able to stay away from open market transactions thanks to the gradual (though stubborn) retreat in all the major price indices, which has made for relatively stable market conditions since QE ended. Through mid-2024, the aggregate runoff has hit $1.4 trillion. </w:t>
      </w:r>
    </w:p>
    <w:p w14:paraId="03B30763" w14:textId="77777777" w:rsidR="002E29B9" w:rsidRPr="005E71B0" w:rsidRDefault="002E29B9" w:rsidP="002E29B9">
      <w:pPr>
        <w:tabs>
          <w:tab w:val="left" w:pos="2550"/>
        </w:tabs>
        <w:spacing w:after="240" w:line="276" w:lineRule="auto"/>
        <w:rPr>
          <w:bCs/>
        </w:rPr>
      </w:pPr>
    </w:p>
    <w:p w14:paraId="062F16FE" w14:textId="77777777" w:rsidR="002E29B9" w:rsidRPr="005E71B0" w:rsidRDefault="002E29B9" w:rsidP="002E29B9">
      <w:pPr>
        <w:tabs>
          <w:tab w:val="left" w:pos="2550"/>
        </w:tabs>
        <w:spacing w:after="240" w:line="276" w:lineRule="auto"/>
        <w:rPr>
          <w:b/>
        </w:rPr>
      </w:pPr>
      <w:r w:rsidRPr="005E71B0">
        <w:rPr>
          <w:b/>
        </w:rPr>
        <w:t>[subhed] Tapering the taper?</w:t>
      </w:r>
    </w:p>
    <w:p w14:paraId="5791C053" w14:textId="2732B528" w:rsidR="002E29B9" w:rsidRPr="005E71B0" w:rsidRDefault="002E29B9" w:rsidP="002E29B9">
      <w:pPr>
        <w:tabs>
          <w:tab w:val="left" w:pos="2550"/>
        </w:tabs>
        <w:spacing w:after="240" w:line="276" w:lineRule="auto"/>
        <w:rPr>
          <w:bCs/>
        </w:rPr>
      </w:pPr>
      <w:r w:rsidRPr="005E71B0">
        <w:rPr>
          <w:bCs/>
        </w:rPr>
        <w:t xml:space="preserve">The big risk in taking bonds off the Fed’s balance sheet is that it was removing stimulus from the economy at a time when nominal interest rates were their highest in a generation. The hope was that the runoff was gradual enough to keep the economy out of the ditch until the Fed was satisfied it was time to move into a rate-cutting phase. Of course, we now know that the phase will begin later than </w:t>
      </w:r>
      <w:r>
        <w:rPr>
          <w:bCs/>
        </w:rPr>
        <w:t xml:space="preserve">we </w:t>
      </w:r>
      <w:r w:rsidRPr="005E71B0">
        <w:rPr>
          <w:bCs/>
        </w:rPr>
        <w:t xml:space="preserve">had anticipated at the start of 2024. </w:t>
      </w:r>
    </w:p>
    <w:p w14:paraId="0D8C16E2" w14:textId="5F5C970C" w:rsidR="002E29B9" w:rsidRPr="005E71B0" w:rsidRDefault="002E29B9" w:rsidP="002E29B9">
      <w:pPr>
        <w:tabs>
          <w:tab w:val="left" w:pos="2550"/>
        </w:tabs>
        <w:spacing w:after="240" w:line="276" w:lineRule="auto"/>
        <w:rPr>
          <w:bCs/>
        </w:rPr>
      </w:pPr>
      <w:r w:rsidRPr="005E71B0">
        <w:rPr>
          <w:bCs/>
        </w:rPr>
        <w:t>The conversation among Fed</w:t>
      </w:r>
      <w:r>
        <w:rPr>
          <w:bCs/>
        </w:rPr>
        <w:t xml:space="preserve"> </w:t>
      </w:r>
      <w:r w:rsidRPr="005E71B0">
        <w:rPr>
          <w:bCs/>
        </w:rPr>
        <w:t xml:space="preserve">watchers, and among the Federal Reserve board members themselves, has turned to cutting the amount of monthly QT. </w:t>
      </w:r>
      <w:r w:rsidRPr="005E71B0">
        <w:t>The minutes</w:t>
      </w:r>
      <w:r w:rsidRPr="005E71B0">
        <w:rPr>
          <w:color w:val="404040"/>
        </w:rPr>
        <w:t xml:space="preserve"> to the Fed’s March </w:t>
      </w:r>
      <w:r w:rsidRPr="005E71B0">
        <w:t>meeting said</w:t>
      </w:r>
      <w:r>
        <w:t>,</w:t>
      </w:r>
      <w:r w:rsidRPr="005E71B0">
        <w:t xml:space="preserve"> </w:t>
      </w:r>
      <w:r w:rsidRPr="005E71B0">
        <w:rPr>
          <w:bCs/>
        </w:rPr>
        <w:t>“participants generally favored reducing the monthly pace of runoff by roughly half from the recent overall pace.” So</w:t>
      </w:r>
      <w:r>
        <w:rPr>
          <w:bCs/>
        </w:rPr>
        <w:t>,</w:t>
      </w:r>
      <w:r w:rsidRPr="005E71B0">
        <w:rPr>
          <w:bCs/>
        </w:rPr>
        <w:t xml:space="preserve"> follow the bouncing ball: A tapering of the tapering is effectively stimulative to the economy, as there are fewer bonds being loosed into the market, and bank reserves and money supply are higher. </w:t>
      </w:r>
    </w:p>
    <w:p w14:paraId="525690B3" w14:textId="2E9F7F53" w:rsidR="002E29B9" w:rsidRDefault="002E29B9" w:rsidP="002E29B9">
      <w:pPr>
        <w:tabs>
          <w:tab w:val="left" w:pos="2550"/>
        </w:tabs>
        <w:spacing w:after="240" w:line="276" w:lineRule="auto"/>
        <w:rPr>
          <w:bCs/>
        </w:rPr>
      </w:pPr>
      <w:r w:rsidRPr="005E71B0">
        <w:rPr>
          <w:bCs/>
        </w:rPr>
        <w:t xml:space="preserve">If our monetary policymakers were desirous of a wind-down strategy that lacked panache, their wish has been granted. </w:t>
      </w:r>
      <w:r>
        <w:rPr>
          <w:bCs/>
        </w:rPr>
        <w:t>T</w:t>
      </w:r>
      <w:r w:rsidRPr="005E71B0">
        <w:rPr>
          <w:bCs/>
        </w:rPr>
        <w:t>here’s still ground to cover</w:t>
      </w:r>
      <w:r>
        <w:rPr>
          <w:bCs/>
        </w:rPr>
        <w:t>: F</w:t>
      </w:r>
      <w:r w:rsidRPr="005E71B0">
        <w:rPr>
          <w:bCs/>
        </w:rPr>
        <w:t>or example, the Fed still owns about one-quarter of the entire MBS market</w:t>
      </w:r>
      <w:r>
        <w:rPr>
          <w:bCs/>
        </w:rPr>
        <w:t xml:space="preserve">, </w:t>
      </w:r>
      <w:r w:rsidRPr="005E71B0">
        <w:rPr>
          <w:bCs/>
        </w:rPr>
        <w:t xml:space="preserve">the vast majority of which </w:t>
      </w:r>
      <w:r>
        <w:rPr>
          <w:bCs/>
        </w:rPr>
        <w:t>comprises</w:t>
      </w:r>
      <w:r w:rsidRPr="005E71B0">
        <w:rPr>
          <w:bCs/>
        </w:rPr>
        <w:t xml:space="preserve"> low-coupon 30-year pools</w:t>
      </w:r>
      <w:r>
        <w:rPr>
          <w:bCs/>
        </w:rPr>
        <w:t xml:space="preserve">. </w:t>
      </w:r>
    </w:p>
    <w:p w14:paraId="5DFA107F" w14:textId="5A66D828" w:rsidR="002E29B9" w:rsidRDefault="002E29B9" w:rsidP="002E29B9">
      <w:pPr>
        <w:tabs>
          <w:tab w:val="left" w:pos="2550"/>
        </w:tabs>
        <w:spacing w:after="240" w:line="276" w:lineRule="auto"/>
        <w:rPr>
          <w:bCs/>
        </w:rPr>
      </w:pPr>
      <w:r>
        <w:rPr>
          <w:bCs/>
        </w:rPr>
        <w:lastRenderedPageBreak/>
        <w:t>However,</w:t>
      </w:r>
      <w:r w:rsidRPr="005E71B0">
        <w:rPr>
          <w:bCs/>
        </w:rPr>
        <w:t xml:space="preserve"> a 20% reduction in its holdings while GDP growth has remained positive is quite the accomplishment. And this revelation: </w:t>
      </w:r>
      <w:r>
        <w:rPr>
          <w:bCs/>
        </w:rPr>
        <w:t>D</w:t>
      </w:r>
      <w:r w:rsidRPr="005E71B0">
        <w:rPr>
          <w:bCs/>
        </w:rPr>
        <w:t>iscreet and anonymous do not mean irrelevant.</w:t>
      </w:r>
    </w:p>
    <w:p w14:paraId="5D57C06F" w14:textId="08D1F3BA" w:rsidR="002E29B9" w:rsidRPr="005E71B0" w:rsidRDefault="002E29B9" w:rsidP="002E29B9">
      <w:pPr>
        <w:tabs>
          <w:tab w:val="left" w:pos="2550"/>
        </w:tabs>
        <w:spacing w:after="240" w:line="276" w:lineRule="auto"/>
        <w:rPr>
          <w:bCs/>
        </w:rPr>
      </w:pPr>
      <w:r w:rsidRPr="005E71B0">
        <w:rPr>
          <w:bCs/>
        </w:rPr>
        <w:t xml:space="preserve"> </w:t>
      </w:r>
    </w:p>
    <w:p w14:paraId="0A7E5C89" w14:textId="77777777" w:rsidR="002E29B9" w:rsidRPr="005E71B0" w:rsidRDefault="002E29B9" w:rsidP="002E29B9">
      <w:pPr>
        <w:tabs>
          <w:tab w:val="left" w:pos="2550"/>
        </w:tabs>
        <w:spacing w:after="240" w:line="276" w:lineRule="auto"/>
        <w:rPr>
          <w:b/>
          <w:bCs/>
          <w:iCs/>
        </w:rPr>
      </w:pPr>
      <w:r w:rsidRPr="005E71B0">
        <w:rPr>
          <w:rStyle w:val="ICBAbold"/>
          <w:iCs/>
        </w:rPr>
        <w:t>Jim Reber</w:t>
      </w:r>
      <w:r w:rsidRPr="005E71B0">
        <w:rPr>
          <w:iCs/>
        </w:rPr>
        <w:t xml:space="preserve"> </w:t>
      </w:r>
      <w:r w:rsidRPr="005E71B0">
        <w:rPr>
          <w:b/>
          <w:bCs/>
          <w:iCs/>
        </w:rPr>
        <w:t>(</w:t>
      </w:r>
      <w:hyperlink r:id="rId7" w:history="1">
        <w:r w:rsidRPr="005E71B0">
          <w:rPr>
            <w:rStyle w:val="Hyperlink"/>
            <w:rFonts w:eastAsiaTheme="majorEastAsia"/>
            <w:b/>
            <w:bCs/>
            <w:i/>
          </w:rPr>
          <w:t>jreber@icbasecurities.com</w:t>
        </w:r>
      </w:hyperlink>
      <w:r w:rsidRPr="005E71B0">
        <w:rPr>
          <w:b/>
          <w:bCs/>
          <w:iCs/>
        </w:rPr>
        <w:t xml:space="preserve">) is president and CEO of ICBA Securities, ICBA’s institutional, fixed-income broker-dealer for community </w:t>
      </w:r>
      <w:proofErr w:type="gramStart"/>
      <w:r w:rsidRPr="005E71B0">
        <w:rPr>
          <w:b/>
          <w:bCs/>
          <w:iCs/>
        </w:rPr>
        <w:t>banks</w:t>
      </w:r>
      <w:proofErr w:type="gramEnd"/>
    </w:p>
    <w:p w14:paraId="2CB0B110" w14:textId="77777777" w:rsidR="002E29B9" w:rsidRDefault="002E29B9" w:rsidP="002E29B9">
      <w:pPr>
        <w:tabs>
          <w:tab w:val="left" w:pos="540"/>
        </w:tabs>
        <w:spacing w:after="240" w:line="276" w:lineRule="auto"/>
        <w:rPr>
          <w:rStyle w:val="ICBAbold"/>
          <w:color w:val="FF0000"/>
        </w:rPr>
      </w:pPr>
      <w:r w:rsidRPr="005E71B0">
        <w:rPr>
          <w:rStyle w:val="ICBAbold"/>
          <w:color w:val="FF0000"/>
        </w:rPr>
        <w:t>[ends]</w:t>
      </w:r>
    </w:p>
    <w:p w14:paraId="11857C9F" w14:textId="2B8A6340" w:rsidR="002E29B9" w:rsidRDefault="002E29B9" w:rsidP="002E29B9">
      <w:pPr>
        <w:tabs>
          <w:tab w:val="left" w:pos="540"/>
        </w:tabs>
        <w:spacing w:after="240" w:line="276" w:lineRule="auto"/>
        <w:rPr>
          <w:rStyle w:val="ICBAbold"/>
          <w:color w:val="FF0000"/>
        </w:rPr>
      </w:pPr>
    </w:p>
    <w:p w14:paraId="490A9004" w14:textId="77777777" w:rsidR="002E29B9" w:rsidRPr="005E71B0" w:rsidRDefault="002E29B9" w:rsidP="002E29B9">
      <w:pPr>
        <w:tabs>
          <w:tab w:val="left" w:pos="540"/>
        </w:tabs>
        <w:spacing w:after="240" w:line="276" w:lineRule="auto"/>
        <w:rPr>
          <w:rStyle w:val="ICBAbold"/>
          <w:color w:val="FF0000"/>
        </w:rPr>
      </w:pPr>
      <w:r>
        <w:rPr>
          <w:rStyle w:val="ICBAbold"/>
          <w:color w:val="FF0000"/>
        </w:rPr>
        <w:t>[boxout]</w:t>
      </w:r>
    </w:p>
    <w:p w14:paraId="3543C265" w14:textId="77777777" w:rsidR="002E29B9" w:rsidRPr="005E71B0" w:rsidRDefault="002E29B9" w:rsidP="002E29B9">
      <w:pPr>
        <w:tabs>
          <w:tab w:val="left" w:pos="540"/>
        </w:tabs>
        <w:spacing w:after="240" w:line="276" w:lineRule="auto"/>
        <w:rPr>
          <w:rStyle w:val="ICBAbold"/>
          <w:bCs/>
        </w:rPr>
      </w:pPr>
      <w:r>
        <w:rPr>
          <w:rStyle w:val="ICBAbold"/>
          <w:bCs/>
        </w:rPr>
        <w:t>Stay tuned for a n</w:t>
      </w:r>
      <w:r w:rsidRPr="005E71B0">
        <w:rPr>
          <w:rStyle w:val="ICBAbold"/>
          <w:bCs/>
        </w:rPr>
        <w:t xml:space="preserve">ew </w:t>
      </w:r>
      <w:proofErr w:type="gramStart"/>
      <w:r>
        <w:rPr>
          <w:rStyle w:val="ICBAbold"/>
          <w:bCs/>
        </w:rPr>
        <w:t>v</w:t>
      </w:r>
      <w:r w:rsidRPr="005E71B0">
        <w:rPr>
          <w:rStyle w:val="ICBAbold"/>
          <w:bCs/>
        </w:rPr>
        <w:t>iewpoint</w:t>
      </w:r>
      <w:proofErr w:type="gramEnd"/>
    </w:p>
    <w:p w14:paraId="03856779" w14:textId="77777777" w:rsidR="002E29B9" w:rsidRDefault="002E29B9" w:rsidP="002E29B9">
      <w:pPr>
        <w:tabs>
          <w:tab w:val="left" w:pos="540"/>
        </w:tabs>
        <w:spacing w:after="240" w:line="276" w:lineRule="auto"/>
        <w:rPr>
          <w:rStyle w:val="ICBAbold"/>
          <w:b w:val="0"/>
        </w:rPr>
      </w:pPr>
      <w:r w:rsidRPr="005E71B0">
        <w:rPr>
          <w:rStyle w:val="ICBAbold"/>
          <w:b w:val="0"/>
        </w:rPr>
        <w:t>Next issue</w:t>
      </w:r>
      <w:r>
        <w:rPr>
          <w:rStyle w:val="ICBAbold"/>
          <w:b w:val="0"/>
        </w:rPr>
        <w:t>,</w:t>
      </w:r>
      <w:r w:rsidRPr="005E71B0">
        <w:rPr>
          <w:rStyle w:val="ICBAbold"/>
          <w:b w:val="0"/>
        </w:rPr>
        <w:t xml:space="preserve"> we welcome a</w:t>
      </w:r>
      <w:r>
        <w:rPr>
          <w:rStyle w:val="ICBAbold"/>
          <w:b w:val="0"/>
        </w:rPr>
        <w:t>n additional</w:t>
      </w:r>
      <w:r w:rsidRPr="005E71B0">
        <w:rPr>
          <w:rStyle w:val="ICBAbold"/>
          <w:b w:val="0"/>
        </w:rPr>
        <w:t xml:space="preserve"> contributor to this column. Michael Benedict, CFA, is </w:t>
      </w:r>
      <w:r>
        <w:rPr>
          <w:rStyle w:val="ICBAbold"/>
          <w:b w:val="0"/>
        </w:rPr>
        <w:t>the</w:t>
      </w:r>
      <w:r w:rsidRPr="005E71B0">
        <w:rPr>
          <w:rStyle w:val="ICBAbold"/>
          <w:b w:val="0"/>
        </w:rPr>
        <w:t xml:space="preserve"> </w:t>
      </w:r>
      <w:r>
        <w:rPr>
          <w:rStyle w:val="ICBAbold"/>
          <w:b w:val="0"/>
        </w:rPr>
        <w:t>m</w:t>
      </w:r>
      <w:r w:rsidRPr="005E71B0">
        <w:rPr>
          <w:rStyle w:val="ICBAbold"/>
          <w:b w:val="0"/>
        </w:rPr>
        <w:t xml:space="preserve">anaging </w:t>
      </w:r>
      <w:r>
        <w:rPr>
          <w:rStyle w:val="ICBAbold"/>
          <w:b w:val="0"/>
        </w:rPr>
        <w:t>d</w:t>
      </w:r>
      <w:r w:rsidRPr="005E71B0">
        <w:rPr>
          <w:rStyle w:val="ICBAbold"/>
          <w:b w:val="0"/>
        </w:rPr>
        <w:t xml:space="preserve">irector in </w:t>
      </w:r>
      <w:r>
        <w:rPr>
          <w:rStyle w:val="ICBAbold"/>
          <w:b w:val="0"/>
        </w:rPr>
        <w:t>f</w:t>
      </w:r>
      <w:r w:rsidRPr="005E71B0">
        <w:rPr>
          <w:rStyle w:val="ICBAbold"/>
          <w:b w:val="0"/>
        </w:rPr>
        <w:t xml:space="preserve">ixed </w:t>
      </w:r>
      <w:r>
        <w:rPr>
          <w:rStyle w:val="ICBAbold"/>
          <w:b w:val="0"/>
        </w:rPr>
        <w:t>i</w:t>
      </w:r>
      <w:r w:rsidRPr="005E71B0">
        <w:rPr>
          <w:rStyle w:val="ICBAbold"/>
          <w:b w:val="0"/>
        </w:rPr>
        <w:t xml:space="preserve">ncome </w:t>
      </w:r>
      <w:r>
        <w:rPr>
          <w:rStyle w:val="ICBAbold"/>
          <w:b w:val="0"/>
        </w:rPr>
        <w:t>s</w:t>
      </w:r>
      <w:r w:rsidRPr="005E71B0">
        <w:rPr>
          <w:rStyle w:val="ICBAbold"/>
          <w:b w:val="0"/>
        </w:rPr>
        <w:t xml:space="preserve">trategies for Stifel, ICBA Securities’ exclusive broker-dealer. Michael’s columns will discuss popular investment products and trends for community bank balance sheets. </w:t>
      </w:r>
    </w:p>
    <w:p w14:paraId="2FDF4B13" w14:textId="77777777" w:rsidR="002E29B9" w:rsidRPr="005E71B0" w:rsidRDefault="002E29B9" w:rsidP="002E29B9">
      <w:pPr>
        <w:tabs>
          <w:tab w:val="left" w:pos="540"/>
        </w:tabs>
        <w:spacing w:after="240" w:line="276" w:lineRule="auto"/>
        <w:rPr>
          <w:rStyle w:val="ICBAbold"/>
          <w:b w:val="0"/>
        </w:rPr>
      </w:pPr>
    </w:p>
    <w:p w14:paraId="244FE1A2" w14:textId="77777777" w:rsidR="002E29B9" w:rsidRPr="005E71B0" w:rsidRDefault="002E29B9" w:rsidP="002E29B9">
      <w:pPr>
        <w:tabs>
          <w:tab w:val="left" w:pos="540"/>
        </w:tabs>
        <w:spacing w:after="240" w:line="276" w:lineRule="auto"/>
        <w:rPr>
          <w:rStyle w:val="ICBAbold"/>
        </w:rPr>
      </w:pPr>
      <w:r w:rsidRPr="005E71B0">
        <w:rPr>
          <w:rStyle w:val="ICBAbold"/>
          <w:color w:val="FF0000"/>
        </w:rPr>
        <w:t xml:space="preserve">[sidebar] </w:t>
      </w:r>
      <w:r w:rsidRPr="005E71B0">
        <w:rPr>
          <w:rStyle w:val="ICBAbold"/>
        </w:rPr>
        <w:t>Education on tap</w:t>
      </w:r>
    </w:p>
    <w:p w14:paraId="278FD381" w14:textId="77777777" w:rsidR="002E29B9" w:rsidRPr="005E71B0" w:rsidRDefault="002E29B9" w:rsidP="002E29B9">
      <w:pPr>
        <w:tabs>
          <w:tab w:val="left" w:pos="540"/>
        </w:tabs>
        <w:spacing w:after="240" w:line="276" w:lineRule="auto"/>
        <w:rPr>
          <w:rStyle w:val="ICBAbold"/>
        </w:rPr>
      </w:pPr>
      <w:r w:rsidRPr="005E71B0">
        <w:rPr>
          <w:rStyle w:val="ICBAbold"/>
        </w:rPr>
        <w:t>Virtual bond basics series this month</w:t>
      </w:r>
    </w:p>
    <w:p w14:paraId="53B1B28F" w14:textId="08763E1D" w:rsidR="002E29B9" w:rsidRPr="005E71B0" w:rsidRDefault="002E29B9" w:rsidP="002E29B9">
      <w:pPr>
        <w:tabs>
          <w:tab w:val="left" w:pos="540"/>
        </w:tabs>
        <w:spacing w:after="240" w:line="276" w:lineRule="auto"/>
        <w:rPr>
          <w:rStyle w:val="ICBAbold"/>
        </w:rPr>
      </w:pPr>
      <w:r w:rsidRPr="005E71B0">
        <w:rPr>
          <w:rStyle w:val="ICBAbold"/>
          <w:b w:val="0"/>
          <w:bCs/>
        </w:rPr>
        <w:t>Registration has opened for Stifel’s virtual bond school June 11</w:t>
      </w:r>
      <w:r>
        <w:rPr>
          <w:rStyle w:val="ICBAbold"/>
          <w:b w:val="0"/>
          <w:bCs/>
        </w:rPr>
        <w:t>–</w:t>
      </w:r>
      <w:r w:rsidRPr="005E71B0">
        <w:rPr>
          <w:rStyle w:val="ICBAbold"/>
          <w:b w:val="0"/>
          <w:bCs/>
        </w:rPr>
        <w:t>13</w:t>
      </w:r>
      <w:r>
        <w:rPr>
          <w:rStyle w:val="ICBAbold"/>
          <w:b w:val="0"/>
          <w:bCs/>
        </w:rPr>
        <w:t>,</w:t>
      </w:r>
      <w:r w:rsidRPr="005E71B0">
        <w:rPr>
          <w:rStyle w:val="ICBAbold"/>
          <w:b w:val="0"/>
          <w:bCs/>
        </w:rPr>
        <w:t xml:space="preserve"> </w:t>
      </w:r>
      <w:r>
        <w:rPr>
          <w:rStyle w:val="ICBAbold"/>
          <w:b w:val="0"/>
          <w:bCs/>
        </w:rPr>
        <w:t xml:space="preserve">which runs each day </w:t>
      </w:r>
      <w:r w:rsidRPr="005E71B0">
        <w:rPr>
          <w:rStyle w:val="ICBAbold"/>
          <w:b w:val="0"/>
          <w:bCs/>
        </w:rPr>
        <w:t>from 1</w:t>
      </w:r>
      <w:r>
        <w:rPr>
          <w:rStyle w:val="ICBAbold"/>
          <w:b w:val="0"/>
          <w:bCs/>
        </w:rPr>
        <w:t xml:space="preserve"> p.m. to </w:t>
      </w:r>
      <w:r w:rsidRPr="005E71B0">
        <w:rPr>
          <w:rStyle w:val="ICBAbold"/>
          <w:b w:val="0"/>
          <w:bCs/>
        </w:rPr>
        <w:t xml:space="preserve">3 p.m. Eastern. Up to nine hours of CPE are offered. To register, contact your Stifel rep or Jim Reber at </w:t>
      </w:r>
      <w:hyperlink r:id="rId8" w:history="1">
        <w:r w:rsidRPr="005E71B0">
          <w:rPr>
            <w:rStyle w:val="Hyperlink"/>
            <w:rFonts w:eastAsiaTheme="majorEastAsia"/>
            <w:bCs/>
          </w:rPr>
          <w:t>jreber@icbasecurities.com</w:t>
        </w:r>
      </w:hyperlink>
      <w:r w:rsidRPr="005E71B0">
        <w:rPr>
          <w:rStyle w:val="ICBAbold"/>
          <w:b w:val="0"/>
          <w:bCs/>
        </w:rPr>
        <w:t xml:space="preserve">.  </w:t>
      </w:r>
    </w:p>
    <w:p w14:paraId="631C08B7" w14:textId="77777777" w:rsidR="002E29B9" w:rsidRPr="005E71B0" w:rsidRDefault="002E29B9" w:rsidP="002E29B9">
      <w:pPr>
        <w:spacing w:after="240" w:line="276" w:lineRule="auto"/>
        <w:rPr>
          <w:rStyle w:val="ICBAbold"/>
          <w:b w:val="0"/>
          <w:color w:val="FF0000"/>
        </w:rPr>
      </w:pPr>
      <w:r w:rsidRPr="005E71B0">
        <w:rPr>
          <w:rStyle w:val="ICBAbold"/>
          <w:color w:val="FF0000"/>
        </w:rPr>
        <w:t>[sidebar ends]</w:t>
      </w:r>
    </w:p>
    <w:p w14:paraId="45873C7B" w14:textId="77777777" w:rsidR="002E29B9" w:rsidRPr="005E71B0" w:rsidRDefault="002E29B9" w:rsidP="002E29B9">
      <w:pPr>
        <w:spacing w:after="240" w:line="276" w:lineRule="auto"/>
        <w:rPr>
          <w:rStyle w:val="ICBAbold"/>
          <w:b w:val="0"/>
          <w:color w:val="FF0000"/>
        </w:rPr>
      </w:pPr>
    </w:p>
    <w:p w14:paraId="70281904" w14:textId="77777777" w:rsidR="002E29B9" w:rsidRDefault="002E29B9" w:rsidP="002E29B9">
      <w:pPr>
        <w:spacing w:after="240" w:line="276" w:lineRule="auto"/>
        <w:rPr>
          <w:rStyle w:val="ICBAbold"/>
          <w:color w:val="FF0000"/>
        </w:rPr>
      </w:pPr>
      <w:r w:rsidRPr="005E71B0">
        <w:rPr>
          <w:rStyle w:val="ICBAbold"/>
          <w:color w:val="FF0000"/>
        </w:rPr>
        <w:t>[pull quote]</w:t>
      </w:r>
    </w:p>
    <w:p w14:paraId="4D54A297" w14:textId="77777777" w:rsidR="002E29B9" w:rsidRPr="005E71B0" w:rsidRDefault="002E29B9" w:rsidP="002E29B9">
      <w:pPr>
        <w:tabs>
          <w:tab w:val="left" w:pos="540"/>
        </w:tabs>
        <w:spacing w:after="240" w:line="276" w:lineRule="auto"/>
        <w:rPr>
          <w:rStyle w:val="ICBAbold"/>
          <w:b w:val="0"/>
          <w:bCs/>
        </w:rPr>
      </w:pPr>
      <w:r>
        <w:rPr>
          <w:rStyle w:val="ICBAbold"/>
          <w:b w:val="0"/>
          <w:bCs/>
        </w:rPr>
        <w:t>O</w:t>
      </w:r>
      <w:r w:rsidRPr="005E71B0">
        <w:rPr>
          <w:rStyle w:val="ICBAbold"/>
          <w:b w:val="0"/>
          <w:bCs/>
        </w:rPr>
        <w:t xml:space="preserve">ver the </w:t>
      </w:r>
      <w:r>
        <w:rPr>
          <w:rStyle w:val="ICBAbold"/>
          <w:b w:val="0"/>
          <w:bCs/>
        </w:rPr>
        <w:t>p</w:t>
      </w:r>
      <w:r w:rsidRPr="005E71B0">
        <w:rPr>
          <w:rStyle w:val="ICBAbold"/>
          <w:b w:val="0"/>
          <w:bCs/>
        </w:rPr>
        <w:t xml:space="preserve">ast two years, the Fed has quietly executed a strategy that has increased the possibility of a recession, without precipitating a hard landing. </w:t>
      </w:r>
      <w:commentRangeStart w:id="0"/>
      <w:r w:rsidRPr="005E71B0">
        <w:rPr>
          <w:rStyle w:val="ICBAbold"/>
          <w:b w:val="0"/>
          <w:bCs/>
        </w:rPr>
        <w:t xml:space="preserve">It also—impressively, by my reckoning—has decreased the likelihood of another spike in inflation. </w:t>
      </w:r>
      <w:commentRangeEnd w:id="0"/>
      <w:r>
        <w:rPr>
          <w:rStyle w:val="CommentReference"/>
          <w:rFonts w:eastAsiaTheme="majorEastAsia"/>
        </w:rPr>
        <w:commentReference w:id="0"/>
      </w:r>
    </w:p>
    <w:p w14:paraId="42EE6986" w14:textId="77777777" w:rsidR="002E29B9" w:rsidRPr="005E71B0" w:rsidRDefault="002E29B9" w:rsidP="002E29B9">
      <w:pPr>
        <w:spacing w:after="240" w:line="276" w:lineRule="auto"/>
        <w:rPr>
          <w:rStyle w:val="ICBAbold"/>
          <w:b w:val="0"/>
          <w:color w:val="FF0000"/>
        </w:rPr>
      </w:pPr>
    </w:p>
    <w:p w14:paraId="25D7FE21" w14:textId="77777777" w:rsidR="00AC5CDB" w:rsidRDefault="00AC5CDB"/>
    <w:sectPr w:rsidR="00AC5CDB" w:rsidSect="006747F5">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olly Bennett" w:date="2024-04-24T13:13:00Z" w:initials="MB">
    <w:p w14:paraId="42C1743C" w14:textId="10ECEF9E" w:rsidR="002E29B9" w:rsidRDefault="002E29B9" w:rsidP="002E29B9">
      <w:pPr>
        <w:pStyle w:val="CommentText"/>
      </w:pPr>
      <w:r>
        <w:rPr>
          <w:rStyle w:val="CommentReference"/>
          <w:rFonts w:eastAsiaTheme="majorEastAsia"/>
        </w:rPr>
        <w:annotationRef/>
      </w:r>
      <w:r>
        <w:t>Art - you can cut this part if there isn’t room.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C174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3BF3A4A" w16cex:dateUtc="2024-04-24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C1743C" w16cid:durableId="13BF3A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818C8" w14:textId="77777777" w:rsidR="006747F5" w:rsidRDefault="006747F5" w:rsidP="00BC2486">
      <w:r>
        <w:separator/>
      </w:r>
    </w:p>
  </w:endnote>
  <w:endnote w:type="continuationSeparator" w:id="0">
    <w:p w14:paraId="45BB7A72" w14:textId="77777777" w:rsidR="006747F5" w:rsidRDefault="006747F5" w:rsidP="00BC2486">
      <w:r>
        <w:continuationSeparator/>
      </w:r>
    </w:p>
  </w:endnote>
  <w:endnote w:type="continuationNotice" w:id="1">
    <w:p w14:paraId="14A6F872" w14:textId="77777777" w:rsidR="006747F5" w:rsidRDefault="00674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3AB0" w14:textId="77777777" w:rsidR="00BC2486" w:rsidRDefault="00BC2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61E5" w14:textId="77777777" w:rsidR="006747F5" w:rsidRDefault="006747F5" w:rsidP="00BC2486">
      <w:r>
        <w:separator/>
      </w:r>
    </w:p>
  </w:footnote>
  <w:footnote w:type="continuationSeparator" w:id="0">
    <w:p w14:paraId="06974D19" w14:textId="77777777" w:rsidR="006747F5" w:rsidRDefault="006747F5" w:rsidP="00BC2486">
      <w:r>
        <w:continuationSeparator/>
      </w:r>
    </w:p>
  </w:footnote>
  <w:footnote w:type="continuationNotice" w:id="1">
    <w:p w14:paraId="371342F2" w14:textId="77777777" w:rsidR="006747F5" w:rsidRDefault="006747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64E83" w14:textId="77777777" w:rsidR="00BC2486" w:rsidRDefault="00BC248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lly Bennett">
    <w15:presenceInfo w15:providerId="AD" w15:userId="S::mbennett@mspcommunications.com::86bf68bd-95d1-465f-8336-35aeda6967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B9"/>
    <w:rsid w:val="00002998"/>
    <w:rsid w:val="000063F5"/>
    <w:rsid w:val="00007914"/>
    <w:rsid w:val="000114E4"/>
    <w:rsid w:val="00013A2D"/>
    <w:rsid w:val="00013AB6"/>
    <w:rsid w:val="000145C3"/>
    <w:rsid w:val="000153DD"/>
    <w:rsid w:val="000154A5"/>
    <w:rsid w:val="00016BDC"/>
    <w:rsid w:val="0001766E"/>
    <w:rsid w:val="0001770D"/>
    <w:rsid w:val="00023687"/>
    <w:rsid w:val="00024470"/>
    <w:rsid w:val="000257DF"/>
    <w:rsid w:val="00026A75"/>
    <w:rsid w:val="000312AD"/>
    <w:rsid w:val="00031F9E"/>
    <w:rsid w:val="00031FBB"/>
    <w:rsid w:val="00033824"/>
    <w:rsid w:val="00034044"/>
    <w:rsid w:val="0003446B"/>
    <w:rsid w:val="0003523F"/>
    <w:rsid w:val="000357F4"/>
    <w:rsid w:val="00037779"/>
    <w:rsid w:val="0004087D"/>
    <w:rsid w:val="000416C6"/>
    <w:rsid w:val="0005331D"/>
    <w:rsid w:val="00053929"/>
    <w:rsid w:val="00053D96"/>
    <w:rsid w:val="0005676C"/>
    <w:rsid w:val="000571ED"/>
    <w:rsid w:val="00057AB9"/>
    <w:rsid w:val="00057BC8"/>
    <w:rsid w:val="00062C26"/>
    <w:rsid w:val="000632C2"/>
    <w:rsid w:val="00063A9F"/>
    <w:rsid w:val="00065606"/>
    <w:rsid w:val="00067EA9"/>
    <w:rsid w:val="00070150"/>
    <w:rsid w:val="0007200E"/>
    <w:rsid w:val="000722B3"/>
    <w:rsid w:val="0007251A"/>
    <w:rsid w:val="00072926"/>
    <w:rsid w:val="00074A42"/>
    <w:rsid w:val="00075532"/>
    <w:rsid w:val="00075EF8"/>
    <w:rsid w:val="00080F1C"/>
    <w:rsid w:val="00087915"/>
    <w:rsid w:val="0008797F"/>
    <w:rsid w:val="000938F9"/>
    <w:rsid w:val="0009394F"/>
    <w:rsid w:val="00094BAB"/>
    <w:rsid w:val="000956A9"/>
    <w:rsid w:val="00095DAF"/>
    <w:rsid w:val="00097B2F"/>
    <w:rsid w:val="000A1958"/>
    <w:rsid w:val="000A4812"/>
    <w:rsid w:val="000A505B"/>
    <w:rsid w:val="000A519B"/>
    <w:rsid w:val="000B0089"/>
    <w:rsid w:val="000B044E"/>
    <w:rsid w:val="000B0BBD"/>
    <w:rsid w:val="000B2A72"/>
    <w:rsid w:val="000B3554"/>
    <w:rsid w:val="000B5FD7"/>
    <w:rsid w:val="000B7497"/>
    <w:rsid w:val="000B7996"/>
    <w:rsid w:val="000B79C4"/>
    <w:rsid w:val="000C1A4D"/>
    <w:rsid w:val="000C248F"/>
    <w:rsid w:val="000C664C"/>
    <w:rsid w:val="000C69A6"/>
    <w:rsid w:val="000C6DB6"/>
    <w:rsid w:val="000C7993"/>
    <w:rsid w:val="000C7A0A"/>
    <w:rsid w:val="000D3022"/>
    <w:rsid w:val="000D38D5"/>
    <w:rsid w:val="000D49ED"/>
    <w:rsid w:val="000D51B9"/>
    <w:rsid w:val="000D6923"/>
    <w:rsid w:val="000E25AD"/>
    <w:rsid w:val="000E3F7B"/>
    <w:rsid w:val="000E5E7B"/>
    <w:rsid w:val="000F1F4A"/>
    <w:rsid w:val="000F23E1"/>
    <w:rsid w:val="000F2FFC"/>
    <w:rsid w:val="000F3AD9"/>
    <w:rsid w:val="000F41F2"/>
    <w:rsid w:val="000F4FC9"/>
    <w:rsid w:val="000F53E3"/>
    <w:rsid w:val="000F5838"/>
    <w:rsid w:val="000F616B"/>
    <w:rsid w:val="00102F4F"/>
    <w:rsid w:val="00103CAD"/>
    <w:rsid w:val="00104862"/>
    <w:rsid w:val="001062A1"/>
    <w:rsid w:val="0011007B"/>
    <w:rsid w:val="00111E48"/>
    <w:rsid w:val="00112782"/>
    <w:rsid w:val="001142D8"/>
    <w:rsid w:val="00115557"/>
    <w:rsid w:val="00117E2E"/>
    <w:rsid w:val="00120042"/>
    <w:rsid w:val="00121449"/>
    <w:rsid w:val="00121494"/>
    <w:rsid w:val="00125109"/>
    <w:rsid w:val="001252DC"/>
    <w:rsid w:val="00142080"/>
    <w:rsid w:val="001454C8"/>
    <w:rsid w:val="001475BC"/>
    <w:rsid w:val="0014763C"/>
    <w:rsid w:val="00147D81"/>
    <w:rsid w:val="0015184F"/>
    <w:rsid w:val="001527EB"/>
    <w:rsid w:val="001550F4"/>
    <w:rsid w:val="0015551A"/>
    <w:rsid w:val="00155EBC"/>
    <w:rsid w:val="00156AE1"/>
    <w:rsid w:val="001625DC"/>
    <w:rsid w:val="00165470"/>
    <w:rsid w:val="00165ABE"/>
    <w:rsid w:val="001663A5"/>
    <w:rsid w:val="00166F18"/>
    <w:rsid w:val="00170ED9"/>
    <w:rsid w:val="00174388"/>
    <w:rsid w:val="00174D25"/>
    <w:rsid w:val="00176A00"/>
    <w:rsid w:val="001770A8"/>
    <w:rsid w:val="00181865"/>
    <w:rsid w:val="001823B9"/>
    <w:rsid w:val="00183099"/>
    <w:rsid w:val="00184D05"/>
    <w:rsid w:val="00187870"/>
    <w:rsid w:val="00190B36"/>
    <w:rsid w:val="001930C4"/>
    <w:rsid w:val="00193F9E"/>
    <w:rsid w:val="00196864"/>
    <w:rsid w:val="0019725C"/>
    <w:rsid w:val="001A1609"/>
    <w:rsid w:val="001A1B5E"/>
    <w:rsid w:val="001A2A7D"/>
    <w:rsid w:val="001A428E"/>
    <w:rsid w:val="001A52F9"/>
    <w:rsid w:val="001A62C8"/>
    <w:rsid w:val="001A76D0"/>
    <w:rsid w:val="001B0C58"/>
    <w:rsid w:val="001B2419"/>
    <w:rsid w:val="001B60A2"/>
    <w:rsid w:val="001B612B"/>
    <w:rsid w:val="001B7DEC"/>
    <w:rsid w:val="001C0F9F"/>
    <w:rsid w:val="001C2A56"/>
    <w:rsid w:val="001C37BD"/>
    <w:rsid w:val="001C3D2F"/>
    <w:rsid w:val="001C50C5"/>
    <w:rsid w:val="001C6190"/>
    <w:rsid w:val="001C630E"/>
    <w:rsid w:val="001D067F"/>
    <w:rsid w:val="001D1461"/>
    <w:rsid w:val="001D283B"/>
    <w:rsid w:val="001D5449"/>
    <w:rsid w:val="001D55D2"/>
    <w:rsid w:val="001D6CB4"/>
    <w:rsid w:val="001E0865"/>
    <w:rsid w:val="001E2A94"/>
    <w:rsid w:val="001E2C64"/>
    <w:rsid w:val="001E5E5E"/>
    <w:rsid w:val="001E6CF3"/>
    <w:rsid w:val="001E7851"/>
    <w:rsid w:val="001E7DB8"/>
    <w:rsid w:val="001F17DB"/>
    <w:rsid w:val="001F2B2A"/>
    <w:rsid w:val="001F2F1C"/>
    <w:rsid w:val="001F38B7"/>
    <w:rsid w:val="001F5E2E"/>
    <w:rsid w:val="001F63E1"/>
    <w:rsid w:val="001F7F4F"/>
    <w:rsid w:val="00200635"/>
    <w:rsid w:val="002060CE"/>
    <w:rsid w:val="00207501"/>
    <w:rsid w:val="002128E6"/>
    <w:rsid w:val="00213ADA"/>
    <w:rsid w:val="002158F3"/>
    <w:rsid w:val="002168E7"/>
    <w:rsid w:val="00217109"/>
    <w:rsid w:val="002217DD"/>
    <w:rsid w:val="00223161"/>
    <w:rsid w:val="00225354"/>
    <w:rsid w:val="0023013F"/>
    <w:rsid w:val="002322B9"/>
    <w:rsid w:val="00234E3B"/>
    <w:rsid w:val="00235C73"/>
    <w:rsid w:val="0024075D"/>
    <w:rsid w:val="00243ED6"/>
    <w:rsid w:val="00244E3D"/>
    <w:rsid w:val="00247E6C"/>
    <w:rsid w:val="0025106A"/>
    <w:rsid w:val="002510FC"/>
    <w:rsid w:val="002548A5"/>
    <w:rsid w:val="00255202"/>
    <w:rsid w:val="0025596B"/>
    <w:rsid w:val="00255BEA"/>
    <w:rsid w:val="002642E3"/>
    <w:rsid w:val="00266830"/>
    <w:rsid w:val="00266A45"/>
    <w:rsid w:val="002721D3"/>
    <w:rsid w:val="00272C80"/>
    <w:rsid w:val="00274F6B"/>
    <w:rsid w:val="0028106C"/>
    <w:rsid w:val="00281976"/>
    <w:rsid w:val="00283154"/>
    <w:rsid w:val="002844FF"/>
    <w:rsid w:val="002846EB"/>
    <w:rsid w:val="002848C4"/>
    <w:rsid w:val="002861FE"/>
    <w:rsid w:val="00294559"/>
    <w:rsid w:val="002967F9"/>
    <w:rsid w:val="002A3D39"/>
    <w:rsid w:val="002A4507"/>
    <w:rsid w:val="002A4A7D"/>
    <w:rsid w:val="002A4B17"/>
    <w:rsid w:val="002A53A8"/>
    <w:rsid w:val="002A6653"/>
    <w:rsid w:val="002B1635"/>
    <w:rsid w:val="002B1D40"/>
    <w:rsid w:val="002B37DF"/>
    <w:rsid w:val="002B48AB"/>
    <w:rsid w:val="002B6223"/>
    <w:rsid w:val="002B65FD"/>
    <w:rsid w:val="002B691E"/>
    <w:rsid w:val="002B7A6D"/>
    <w:rsid w:val="002B7BEF"/>
    <w:rsid w:val="002C1831"/>
    <w:rsid w:val="002C1A28"/>
    <w:rsid w:val="002C1BBC"/>
    <w:rsid w:val="002C1F9D"/>
    <w:rsid w:val="002C26D8"/>
    <w:rsid w:val="002C326E"/>
    <w:rsid w:val="002C3BE8"/>
    <w:rsid w:val="002C4432"/>
    <w:rsid w:val="002C4B27"/>
    <w:rsid w:val="002C597C"/>
    <w:rsid w:val="002C6758"/>
    <w:rsid w:val="002C7B60"/>
    <w:rsid w:val="002D011E"/>
    <w:rsid w:val="002D0B30"/>
    <w:rsid w:val="002D5DBF"/>
    <w:rsid w:val="002D6094"/>
    <w:rsid w:val="002D74CE"/>
    <w:rsid w:val="002E29B9"/>
    <w:rsid w:val="002E4864"/>
    <w:rsid w:val="002E4873"/>
    <w:rsid w:val="002E5BB2"/>
    <w:rsid w:val="002E5F32"/>
    <w:rsid w:val="002E653A"/>
    <w:rsid w:val="002E783A"/>
    <w:rsid w:val="002E7D4B"/>
    <w:rsid w:val="002F7CB7"/>
    <w:rsid w:val="00300FE2"/>
    <w:rsid w:val="003044D2"/>
    <w:rsid w:val="00306A24"/>
    <w:rsid w:val="003075C9"/>
    <w:rsid w:val="003076E8"/>
    <w:rsid w:val="003112B9"/>
    <w:rsid w:val="00314341"/>
    <w:rsid w:val="0031438E"/>
    <w:rsid w:val="0031533B"/>
    <w:rsid w:val="00315D4F"/>
    <w:rsid w:val="00317665"/>
    <w:rsid w:val="00321029"/>
    <w:rsid w:val="00326A56"/>
    <w:rsid w:val="00327C16"/>
    <w:rsid w:val="0033478F"/>
    <w:rsid w:val="00335C81"/>
    <w:rsid w:val="00337B89"/>
    <w:rsid w:val="00343675"/>
    <w:rsid w:val="00343E61"/>
    <w:rsid w:val="00344621"/>
    <w:rsid w:val="00344B48"/>
    <w:rsid w:val="003452F9"/>
    <w:rsid w:val="00350E13"/>
    <w:rsid w:val="00350F9C"/>
    <w:rsid w:val="003514D1"/>
    <w:rsid w:val="0035185A"/>
    <w:rsid w:val="003545F3"/>
    <w:rsid w:val="00354F89"/>
    <w:rsid w:val="00357228"/>
    <w:rsid w:val="00362773"/>
    <w:rsid w:val="003642CE"/>
    <w:rsid w:val="003642EC"/>
    <w:rsid w:val="0036650F"/>
    <w:rsid w:val="0037264D"/>
    <w:rsid w:val="00373C6C"/>
    <w:rsid w:val="00374333"/>
    <w:rsid w:val="00375130"/>
    <w:rsid w:val="00377210"/>
    <w:rsid w:val="0038021B"/>
    <w:rsid w:val="00384C16"/>
    <w:rsid w:val="00387DCD"/>
    <w:rsid w:val="003903C3"/>
    <w:rsid w:val="003905DB"/>
    <w:rsid w:val="003917FB"/>
    <w:rsid w:val="00391A82"/>
    <w:rsid w:val="00393765"/>
    <w:rsid w:val="003953D3"/>
    <w:rsid w:val="003A6740"/>
    <w:rsid w:val="003B0385"/>
    <w:rsid w:val="003B4B9E"/>
    <w:rsid w:val="003B5E97"/>
    <w:rsid w:val="003B6125"/>
    <w:rsid w:val="003B6A3B"/>
    <w:rsid w:val="003C225B"/>
    <w:rsid w:val="003C26CF"/>
    <w:rsid w:val="003C2F55"/>
    <w:rsid w:val="003C35B2"/>
    <w:rsid w:val="003C53C7"/>
    <w:rsid w:val="003C6BD5"/>
    <w:rsid w:val="003D39D0"/>
    <w:rsid w:val="003D78BB"/>
    <w:rsid w:val="003D7C98"/>
    <w:rsid w:val="003E1B27"/>
    <w:rsid w:val="003E4006"/>
    <w:rsid w:val="003E57A0"/>
    <w:rsid w:val="003E635D"/>
    <w:rsid w:val="003F036F"/>
    <w:rsid w:val="003F1053"/>
    <w:rsid w:val="003F3B2A"/>
    <w:rsid w:val="003F57BC"/>
    <w:rsid w:val="003F6057"/>
    <w:rsid w:val="003F6196"/>
    <w:rsid w:val="0040291B"/>
    <w:rsid w:val="00402B04"/>
    <w:rsid w:val="00405743"/>
    <w:rsid w:val="0041123D"/>
    <w:rsid w:val="004138AA"/>
    <w:rsid w:val="004138F7"/>
    <w:rsid w:val="004142F2"/>
    <w:rsid w:val="00415A72"/>
    <w:rsid w:val="0042343D"/>
    <w:rsid w:val="00423A33"/>
    <w:rsid w:val="0042457E"/>
    <w:rsid w:val="00424637"/>
    <w:rsid w:val="0042592F"/>
    <w:rsid w:val="00425A4E"/>
    <w:rsid w:val="0042638C"/>
    <w:rsid w:val="00427DC6"/>
    <w:rsid w:val="00430154"/>
    <w:rsid w:val="00431471"/>
    <w:rsid w:val="004318D2"/>
    <w:rsid w:val="00432B3A"/>
    <w:rsid w:val="00433DE1"/>
    <w:rsid w:val="00434672"/>
    <w:rsid w:val="004359FE"/>
    <w:rsid w:val="00436519"/>
    <w:rsid w:val="00437E7A"/>
    <w:rsid w:val="004403D8"/>
    <w:rsid w:val="004445F9"/>
    <w:rsid w:val="00446D6B"/>
    <w:rsid w:val="00450567"/>
    <w:rsid w:val="0045188E"/>
    <w:rsid w:val="00454113"/>
    <w:rsid w:val="00454152"/>
    <w:rsid w:val="0045712A"/>
    <w:rsid w:val="004577CB"/>
    <w:rsid w:val="00463235"/>
    <w:rsid w:val="00463D87"/>
    <w:rsid w:val="004650ED"/>
    <w:rsid w:val="00465FDD"/>
    <w:rsid w:val="00466B09"/>
    <w:rsid w:val="004671A9"/>
    <w:rsid w:val="00467985"/>
    <w:rsid w:val="00473F0E"/>
    <w:rsid w:val="004822CB"/>
    <w:rsid w:val="004828A2"/>
    <w:rsid w:val="004840EF"/>
    <w:rsid w:val="00485B56"/>
    <w:rsid w:val="004874AA"/>
    <w:rsid w:val="00487E09"/>
    <w:rsid w:val="00490A1C"/>
    <w:rsid w:val="0049157B"/>
    <w:rsid w:val="0049199B"/>
    <w:rsid w:val="00492E1B"/>
    <w:rsid w:val="004933F0"/>
    <w:rsid w:val="00494EB1"/>
    <w:rsid w:val="004A01C8"/>
    <w:rsid w:val="004A1554"/>
    <w:rsid w:val="004A2ADD"/>
    <w:rsid w:val="004A3BB7"/>
    <w:rsid w:val="004A431F"/>
    <w:rsid w:val="004A5212"/>
    <w:rsid w:val="004A6A2F"/>
    <w:rsid w:val="004B1CAA"/>
    <w:rsid w:val="004B2956"/>
    <w:rsid w:val="004B4E39"/>
    <w:rsid w:val="004B6A87"/>
    <w:rsid w:val="004C1D9B"/>
    <w:rsid w:val="004C255C"/>
    <w:rsid w:val="004C2842"/>
    <w:rsid w:val="004C3929"/>
    <w:rsid w:val="004C6269"/>
    <w:rsid w:val="004C64E0"/>
    <w:rsid w:val="004C6796"/>
    <w:rsid w:val="004D0203"/>
    <w:rsid w:val="004D1C28"/>
    <w:rsid w:val="004E4238"/>
    <w:rsid w:val="004E6497"/>
    <w:rsid w:val="004F1845"/>
    <w:rsid w:val="005006CA"/>
    <w:rsid w:val="00503458"/>
    <w:rsid w:val="0050483B"/>
    <w:rsid w:val="005059CC"/>
    <w:rsid w:val="00506BDE"/>
    <w:rsid w:val="00507045"/>
    <w:rsid w:val="005108B7"/>
    <w:rsid w:val="0051123F"/>
    <w:rsid w:val="005119FD"/>
    <w:rsid w:val="005126E6"/>
    <w:rsid w:val="0051366B"/>
    <w:rsid w:val="005155D5"/>
    <w:rsid w:val="00516957"/>
    <w:rsid w:val="00522B23"/>
    <w:rsid w:val="00522E07"/>
    <w:rsid w:val="00530B44"/>
    <w:rsid w:val="00531F22"/>
    <w:rsid w:val="00531F6B"/>
    <w:rsid w:val="00532036"/>
    <w:rsid w:val="00534FF1"/>
    <w:rsid w:val="00535C0F"/>
    <w:rsid w:val="0053629D"/>
    <w:rsid w:val="00536923"/>
    <w:rsid w:val="00536BB3"/>
    <w:rsid w:val="00536CFA"/>
    <w:rsid w:val="00536FBC"/>
    <w:rsid w:val="00537013"/>
    <w:rsid w:val="00537B9E"/>
    <w:rsid w:val="0054132A"/>
    <w:rsid w:val="0054196A"/>
    <w:rsid w:val="00542823"/>
    <w:rsid w:val="005454D6"/>
    <w:rsid w:val="00546549"/>
    <w:rsid w:val="005525C8"/>
    <w:rsid w:val="00555076"/>
    <w:rsid w:val="00555157"/>
    <w:rsid w:val="00556421"/>
    <w:rsid w:val="0056270E"/>
    <w:rsid w:val="00562E81"/>
    <w:rsid w:val="00564A73"/>
    <w:rsid w:val="00567748"/>
    <w:rsid w:val="0056782C"/>
    <w:rsid w:val="00571237"/>
    <w:rsid w:val="005733A3"/>
    <w:rsid w:val="005749EE"/>
    <w:rsid w:val="00580E95"/>
    <w:rsid w:val="005813B3"/>
    <w:rsid w:val="0058188E"/>
    <w:rsid w:val="005822D0"/>
    <w:rsid w:val="00583F78"/>
    <w:rsid w:val="00584051"/>
    <w:rsid w:val="00585576"/>
    <w:rsid w:val="0058764B"/>
    <w:rsid w:val="00587C65"/>
    <w:rsid w:val="005916A5"/>
    <w:rsid w:val="00591D34"/>
    <w:rsid w:val="00592C69"/>
    <w:rsid w:val="005953A7"/>
    <w:rsid w:val="00596A3E"/>
    <w:rsid w:val="00596E67"/>
    <w:rsid w:val="0059759A"/>
    <w:rsid w:val="005A27A8"/>
    <w:rsid w:val="005A2850"/>
    <w:rsid w:val="005A3C4C"/>
    <w:rsid w:val="005B1C44"/>
    <w:rsid w:val="005B3E40"/>
    <w:rsid w:val="005B5233"/>
    <w:rsid w:val="005B613E"/>
    <w:rsid w:val="005B6BF5"/>
    <w:rsid w:val="005B6F9F"/>
    <w:rsid w:val="005C02A7"/>
    <w:rsid w:val="005C0B34"/>
    <w:rsid w:val="005C2C27"/>
    <w:rsid w:val="005C5C42"/>
    <w:rsid w:val="005C7994"/>
    <w:rsid w:val="005D0714"/>
    <w:rsid w:val="005D11DE"/>
    <w:rsid w:val="005D1CCA"/>
    <w:rsid w:val="005D4DEA"/>
    <w:rsid w:val="005D6BB6"/>
    <w:rsid w:val="005E1CAF"/>
    <w:rsid w:val="005E226B"/>
    <w:rsid w:val="005E2D48"/>
    <w:rsid w:val="005E3687"/>
    <w:rsid w:val="005E37DF"/>
    <w:rsid w:val="005E6A7A"/>
    <w:rsid w:val="005E71B0"/>
    <w:rsid w:val="005E737E"/>
    <w:rsid w:val="005F0DA1"/>
    <w:rsid w:val="005F4A4A"/>
    <w:rsid w:val="005F56D5"/>
    <w:rsid w:val="005F5B8A"/>
    <w:rsid w:val="005F5F80"/>
    <w:rsid w:val="005F7729"/>
    <w:rsid w:val="00600EBB"/>
    <w:rsid w:val="00602423"/>
    <w:rsid w:val="00605C83"/>
    <w:rsid w:val="00606050"/>
    <w:rsid w:val="00606141"/>
    <w:rsid w:val="00606C95"/>
    <w:rsid w:val="006078BA"/>
    <w:rsid w:val="00614C60"/>
    <w:rsid w:val="00616A48"/>
    <w:rsid w:val="00617C73"/>
    <w:rsid w:val="00617FB7"/>
    <w:rsid w:val="006212C4"/>
    <w:rsid w:val="00623223"/>
    <w:rsid w:val="00623795"/>
    <w:rsid w:val="006267CB"/>
    <w:rsid w:val="00630634"/>
    <w:rsid w:val="0063216D"/>
    <w:rsid w:val="0063335D"/>
    <w:rsid w:val="006333E1"/>
    <w:rsid w:val="0063481A"/>
    <w:rsid w:val="00634FE7"/>
    <w:rsid w:val="00635AAA"/>
    <w:rsid w:val="0063721E"/>
    <w:rsid w:val="00641683"/>
    <w:rsid w:val="0064216A"/>
    <w:rsid w:val="00645B42"/>
    <w:rsid w:val="0064712A"/>
    <w:rsid w:val="00647433"/>
    <w:rsid w:val="00650A77"/>
    <w:rsid w:val="00654AA8"/>
    <w:rsid w:val="00655565"/>
    <w:rsid w:val="00656791"/>
    <w:rsid w:val="00656D86"/>
    <w:rsid w:val="0066097E"/>
    <w:rsid w:val="00660A57"/>
    <w:rsid w:val="006636BC"/>
    <w:rsid w:val="00666B97"/>
    <w:rsid w:val="00667B79"/>
    <w:rsid w:val="00670DB0"/>
    <w:rsid w:val="0067214C"/>
    <w:rsid w:val="00672C3E"/>
    <w:rsid w:val="0067301C"/>
    <w:rsid w:val="006747F5"/>
    <w:rsid w:val="006766B9"/>
    <w:rsid w:val="0068097A"/>
    <w:rsid w:val="00681155"/>
    <w:rsid w:val="006817B6"/>
    <w:rsid w:val="00683AB5"/>
    <w:rsid w:val="00684177"/>
    <w:rsid w:val="00686579"/>
    <w:rsid w:val="006867F8"/>
    <w:rsid w:val="00691ABA"/>
    <w:rsid w:val="00692709"/>
    <w:rsid w:val="006951EB"/>
    <w:rsid w:val="006974C0"/>
    <w:rsid w:val="006A11A9"/>
    <w:rsid w:val="006A142B"/>
    <w:rsid w:val="006A24A3"/>
    <w:rsid w:val="006A4377"/>
    <w:rsid w:val="006A4DD1"/>
    <w:rsid w:val="006A5265"/>
    <w:rsid w:val="006A57F2"/>
    <w:rsid w:val="006A5DA0"/>
    <w:rsid w:val="006A6205"/>
    <w:rsid w:val="006A768A"/>
    <w:rsid w:val="006B0544"/>
    <w:rsid w:val="006B141F"/>
    <w:rsid w:val="006B26B7"/>
    <w:rsid w:val="006B2719"/>
    <w:rsid w:val="006B374F"/>
    <w:rsid w:val="006B6F3F"/>
    <w:rsid w:val="006B7154"/>
    <w:rsid w:val="006C2292"/>
    <w:rsid w:val="006C3740"/>
    <w:rsid w:val="006C404A"/>
    <w:rsid w:val="006C6C2A"/>
    <w:rsid w:val="006C6C3D"/>
    <w:rsid w:val="006C6E11"/>
    <w:rsid w:val="006C7727"/>
    <w:rsid w:val="006C7740"/>
    <w:rsid w:val="006D3604"/>
    <w:rsid w:val="006D3B14"/>
    <w:rsid w:val="006D3DD3"/>
    <w:rsid w:val="006D4121"/>
    <w:rsid w:val="006D5636"/>
    <w:rsid w:val="006D73C9"/>
    <w:rsid w:val="006E0DD0"/>
    <w:rsid w:val="006E1516"/>
    <w:rsid w:val="006E33DA"/>
    <w:rsid w:val="006E4D45"/>
    <w:rsid w:val="006E4E87"/>
    <w:rsid w:val="006E4FF7"/>
    <w:rsid w:val="006E5B49"/>
    <w:rsid w:val="006E7198"/>
    <w:rsid w:val="006E7891"/>
    <w:rsid w:val="006F7337"/>
    <w:rsid w:val="006F767F"/>
    <w:rsid w:val="007008E6"/>
    <w:rsid w:val="0070294A"/>
    <w:rsid w:val="00703101"/>
    <w:rsid w:val="0070325E"/>
    <w:rsid w:val="0070355E"/>
    <w:rsid w:val="007035A1"/>
    <w:rsid w:val="007035CE"/>
    <w:rsid w:val="0070554C"/>
    <w:rsid w:val="00705C57"/>
    <w:rsid w:val="0070624A"/>
    <w:rsid w:val="00707F14"/>
    <w:rsid w:val="0071376F"/>
    <w:rsid w:val="00714418"/>
    <w:rsid w:val="007145A4"/>
    <w:rsid w:val="0071475E"/>
    <w:rsid w:val="007148C7"/>
    <w:rsid w:val="00714A1F"/>
    <w:rsid w:val="0071536B"/>
    <w:rsid w:val="00716426"/>
    <w:rsid w:val="00716ABE"/>
    <w:rsid w:val="007202F4"/>
    <w:rsid w:val="00720586"/>
    <w:rsid w:val="007211F1"/>
    <w:rsid w:val="007220DB"/>
    <w:rsid w:val="00723E95"/>
    <w:rsid w:val="00726232"/>
    <w:rsid w:val="0072771D"/>
    <w:rsid w:val="00730D91"/>
    <w:rsid w:val="00730EEF"/>
    <w:rsid w:val="00731AA8"/>
    <w:rsid w:val="0073370F"/>
    <w:rsid w:val="00734F71"/>
    <w:rsid w:val="00735247"/>
    <w:rsid w:val="00736D7E"/>
    <w:rsid w:val="00742F7D"/>
    <w:rsid w:val="00743933"/>
    <w:rsid w:val="00747634"/>
    <w:rsid w:val="00750728"/>
    <w:rsid w:val="0075695A"/>
    <w:rsid w:val="00760B00"/>
    <w:rsid w:val="00762EE5"/>
    <w:rsid w:val="00763F89"/>
    <w:rsid w:val="00764A15"/>
    <w:rsid w:val="00766D62"/>
    <w:rsid w:val="0077039D"/>
    <w:rsid w:val="00770790"/>
    <w:rsid w:val="00772E04"/>
    <w:rsid w:val="007739F1"/>
    <w:rsid w:val="00774BEE"/>
    <w:rsid w:val="0077776A"/>
    <w:rsid w:val="0078038A"/>
    <w:rsid w:val="00780A48"/>
    <w:rsid w:val="00781D0D"/>
    <w:rsid w:val="00781E45"/>
    <w:rsid w:val="007827CF"/>
    <w:rsid w:val="00783C46"/>
    <w:rsid w:val="007857BE"/>
    <w:rsid w:val="00786A36"/>
    <w:rsid w:val="00786BB5"/>
    <w:rsid w:val="007922AF"/>
    <w:rsid w:val="00792F6F"/>
    <w:rsid w:val="00793464"/>
    <w:rsid w:val="00795EC1"/>
    <w:rsid w:val="00797C1E"/>
    <w:rsid w:val="007A09A1"/>
    <w:rsid w:val="007A0D00"/>
    <w:rsid w:val="007A3EF5"/>
    <w:rsid w:val="007A4A58"/>
    <w:rsid w:val="007A5546"/>
    <w:rsid w:val="007A587B"/>
    <w:rsid w:val="007A6850"/>
    <w:rsid w:val="007B11FE"/>
    <w:rsid w:val="007B157B"/>
    <w:rsid w:val="007B1CC4"/>
    <w:rsid w:val="007B49B0"/>
    <w:rsid w:val="007B5658"/>
    <w:rsid w:val="007B6C18"/>
    <w:rsid w:val="007B76D7"/>
    <w:rsid w:val="007C0D64"/>
    <w:rsid w:val="007C14B5"/>
    <w:rsid w:val="007C20BB"/>
    <w:rsid w:val="007C2265"/>
    <w:rsid w:val="007C2D7F"/>
    <w:rsid w:val="007C6121"/>
    <w:rsid w:val="007D32C8"/>
    <w:rsid w:val="007D67D0"/>
    <w:rsid w:val="007E1E12"/>
    <w:rsid w:val="007E4B88"/>
    <w:rsid w:val="007E5385"/>
    <w:rsid w:val="007E5DB2"/>
    <w:rsid w:val="007E75E2"/>
    <w:rsid w:val="007F04D5"/>
    <w:rsid w:val="007F0504"/>
    <w:rsid w:val="007F10D9"/>
    <w:rsid w:val="007F13A4"/>
    <w:rsid w:val="007F215A"/>
    <w:rsid w:val="007F2DA6"/>
    <w:rsid w:val="007F45CF"/>
    <w:rsid w:val="007F5643"/>
    <w:rsid w:val="007F6FB8"/>
    <w:rsid w:val="00804A72"/>
    <w:rsid w:val="00806509"/>
    <w:rsid w:val="00806DDB"/>
    <w:rsid w:val="00806F34"/>
    <w:rsid w:val="00807094"/>
    <w:rsid w:val="00807F56"/>
    <w:rsid w:val="00811AF0"/>
    <w:rsid w:val="00812192"/>
    <w:rsid w:val="008122E9"/>
    <w:rsid w:val="0081280B"/>
    <w:rsid w:val="008170DD"/>
    <w:rsid w:val="00822BAA"/>
    <w:rsid w:val="00824153"/>
    <w:rsid w:val="00825BBD"/>
    <w:rsid w:val="0082755B"/>
    <w:rsid w:val="00827B15"/>
    <w:rsid w:val="00830BF7"/>
    <w:rsid w:val="008334E1"/>
    <w:rsid w:val="00833787"/>
    <w:rsid w:val="00833B67"/>
    <w:rsid w:val="008357E8"/>
    <w:rsid w:val="00835E52"/>
    <w:rsid w:val="008410C3"/>
    <w:rsid w:val="0084386C"/>
    <w:rsid w:val="00843DFD"/>
    <w:rsid w:val="00843FAF"/>
    <w:rsid w:val="00844F03"/>
    <w:rsid w:val="00846901"/>
    <w:rsid w:val="008504DB"/>
    <w:rsid w:val="008511A0"/>
    <w:rsid w:val="00851A8B"/>
    <w:rsid w:val="008523D3"/>
    <w:rsid w:val="008539B4"/>
    <w:rsid w:val="0085567B"/>
    <w:rsid w:val="008565FF"/>
    <w:rsid w:val="008570C2"/>
    <w:rsid w:val="00861378"/>
    <w:rsid w:val="00861B0D"/>
    <w:rsid w:val="00861FAE"/>
    <w:rsid w:val="008636A2"/>
    <w:rsid w:val="00864056"/>
    <w:rsid w:val="00864876"/>
    <w:rsid w:val="008649C9"/>
    <w:rsid w:val="008655F5"/>
    <w:rsid w:val="00874038"/>
    <w:rsid w:val="00874718"/>
    <w:rsid w:val="0087631C"/>
    <w:rsid w:val="008771BD"/>
    <w:rsid w:val="008816FD"/>
    <w:rsid w:val="00882C78"/>
    <w:rsid w:val="00887AB6"/>
    <w:rsid w:val="00892436"/>
    <w:rsid w:val="0089259F"/>
    <w:rsid w:val="00893675"/>
    <w:rsid w:val="008A07BF"/>
    <w:rsid w:val="008A3DAC"/>
    <w:rsid w:val="008A5076"/>
    <w:rsid w:val="008A54BA"/>
    <w:rsid w:val="008A6443"/>
    <w:rsid w:val="008A6529"/>
    <w:rsid w:val="008B21E3"/>
    <w:rsid w:val="008B4B49"/>
    <w:rsid w:val="008B560D"/>
    <w:rsid w:val="008B592D"/>
    <w:rsid w:val="008B59D9"/>
    <w:rsid w:val="008B5A86"/>
    <w:rsid w:val="008B7D78"/>
    <w:rsid w:val="008C00D7"/>
    <w:rsid w:val="008C1F1C"/>
    <w:rsid w:val="008D25F9"/>
    <w:rsid w:val="008D2DB7"/>
    <w:rsid w:val="008D3A5B"/>
    <w:rsid w:val="008D680D"/>
    <w:rsid w:val="008D77B3"/>
    <w:rsid w:val="008E000A"/>
    <w:rsid w:val="008E0562"/>
    <w:rsid w:val="008E12B6"/>
    <w:rsid w:val="008E3B94"/>
    <w:rsid w:val="008E7E5B"/>
    <w:rsid w:val="008F182D"/>
    <w:rsid w:val="008F197E"/>
    <w:rsid w:val="008F455D"/>
    <w:rsid w:val="008F685A"/>
    <w:rsid w:val="008F69F4"/>
    <w:rsid w:val="00901AD6"/>
    <w:rsid w:val="00903012"/>
    <w:rsid w:val="00904FAD"/>
    <w:rsid w:val="00905725"/>
    <w:rsid w:val="00905727"/>
    <w:rsid w:val="009060A2"/>
    <w:rsid w:val="009069F8"/>
    <w:rsid w:val="0091102D"/>
    <w:rsid w:val="00911557"/>
    <w:rsid w:val="009161AE"/>
    <w:rsid w:val="00916ED0"/>
    <w:rsid w:val="00920CD8"/>
    <w:rsid w:val="009220F4"/>
    <w:rsid w:val="00922A63"/>
    <w:rsid w:val="009238FA"/>
    <w:rsid w:val="00925557"/>
    <w:rsid w:val="0093494F"/>
    <w:rsid w:val="00934B18"/>
    <w:rsid w:val="00941EA3"/>
    <w:rsid w:val="00945C2C"/>
    <w:rsid w:val="009505AF"/>
    <w:rsid w:val="00952A4B"/>
    <w:rsid w:val="009555E8"/>
    <w:rsid w:val="0095626D"/>
    <w:rsid w:val="00957DF6"/>
    <w:rsid w:val="009670D8"/>
    <w:rsid w:val="00967911"/>
    <w:rsid w:val="009708FF"/>
    <w:rsid w:val="009712F2"/>
    <w:rsid w:val="00971AC6"/>
    <w:rsid w:val="00972BA5"/>
    <w:rsid w:val="00973942"/>
    <w:rsid w:val="00975116"/>
    <w:rsid w:val="009818D0"/>
    <w:rsid w:val="00981B70"/>
    <w:rsid w:val="0098328A"/>
    <w:rsid w:val="00983C9A"/>
    <w:rsid w:val="00983D47"/>
    <w:rsid w:val="00983D56"/>
    <w:rsid w:val="009841B6"/>
    <w:rsid w:val="0098572C"/>
    <w:rsid w:val="00986AF4"/>
    <w:rsid w:val="00986B21"/>
    <w:rsid w:val="009913E3"/>
    <w:rsid w:val="00994A78"/>
    <w:rsid w:val="00995AF9"/>
    <w:rsid w:val="0099762D"/>
    <w:rsid w:val="009A03F7"/>
    <w:rsid w:val="009A0C20"/>
    <w:rsid w:val="009A74F3"/>
    <w:rsid w:val="009B0CFE"/>
    <w:rsid w:val="009B21E5"/>
    <w:rsid w:val="009B42D0"/>
    <w:rsid w:val="009C0664"/>
    <w:rsid w:val="009C06CA"/>
    <w:rsid w:val="009C0EDE"/>
    <w:rsid w:val="009C4334"/>
    <w:rsid w:val="009C4D30"/>
    <w:rsid w:val="009C79F8"/>
    <w:rsid w:val="009D107A"/>
    <w:rsid w:val="009D2DE9"/>
    <w:rsid w:val="009D3CD4"/>
    <w:rsid w:val="009D4EDC"/>
    <w:rsid w:val="009E2622"/>
    <w:rsid w:val="009E321A"/>
    <w:rsid w:val="009E58F3"/>
    <w:rsid w:val="009E664F"/>
    <w:rsid w:val="009E6C37"/>
    <w:rsid w:val="009F1AEC"/>
    <w:rsid w:val="009F3221"/>
    <w:rsid w:val="009F4B18"/>
    <w:rsid w:val="009F4C20"/>
    <w:rsid w:val="009F50A4"/>
    <w:rsid w:val="009F5B4D"/>
    <w:rsid w:val="009F6B8A"/>
    <w:rsid w:val="00A00071"/>
    <w:rsid w:val="00A00D55"/>
    <w:rsid w:val="00A0408D"/>
    <w:rsid w:val="00A04DE9"/>
    <w:rsid w:val="00A05980"/>
    <w:rsid w:val="00A10040"/>
    <w:rsid w:val="00A10D5B"/>
    <w:rsid w:val="00A113A5"/>
    <w:rsid w:val="00A13FC9"/>
    <w:rsid w:val="00A15A9E"/>
    <w:rsid w:val="00A24E19"/>
    <w:rsid w:val="00A2659E"/>
    <w:rsid w:val="00A27960"/>
    <w:rsid w:val="00A31705"/>
    <w:rsid w:val="00A31B3C"/>
    <w:rsid w:val="00A325DA"/>
    <w:rsid w:val="00A3332E"/>
    <w:rsid w:val="00A33CD1"/>
    <w:rsid w:val="00A45384"/>
    <w:rsid w:val="00A5068C"/>
    <w:rsid w:val="00A51B4A"/>
    <w:rsid w:val="00A51D21"/>
    <w:rsid w:val="00A51DDC"/>
    <w:rsid w:val="00A574DB"/>
    <w:rsid w:val="00A625FB"/>
    <w:rsid w:val="00A6469D"/>
    <w:rsid w:val="00A6559F"/>
    <w:rsid w:val="00A66018"/>
    <w:rsid w:val="00A66AC4"/>
    <w:rsid w:val="00A70159"/>
    <w:rsid w:val="00A70407"/>
    <w:rsid w:val="00A72169"/>
    <w:rsid w:val="00A72D17"/>
    <w:rsid w:val="00A74246"/>
    <w:rsid w:val="00A751B8"/>
    <w:rsid w:val="00A76BE3"/>
    <w:rsid w:val="00A77488"/>
    <w:rsid w:val="00A80783"/>
    <w:rsid w:val="00A81C5D"/>
    <w:rsid w:val="00A8208F"/>
    <w:rsid w:val="00A85998"/>
    <w:rsid w:val="00A86523"/>
    <w:rsid w:val="00A86543"/>
    <w:rsid w:val="00A94464"/>
    <w:rsid w:val="00A951EC"/>
    <w:rsid w:val="00A97F14"/>
    <w:rsid w:val="00AA0138"/>
    <w:rsid w:val="00AA04E1"/>
    <w:rsid w:val="00AA21CE"/>
    <w:rsid w:val="00AA586B"/>
    <w:rsid w:val="00AA5C19"/>
    <w:rsid w:val="00AA5E2C"/>
    <w:rsid w:val="00AA5F4F"/>
    <w:rsid w:val="00AA70F5"/>
    <w:rsid w:val="00AA729F"/>
    <w:rsid w:val="00AB1D71"/>
    <w:rsid w:val="00AB2DFF"/>
    <w:rsid w:val="00AB2F6D"/>
    <w:rsid w:val="00AB3DA0"/>
    <w:rsid w:val="00AB735A"/>
    <w:rsid w:val="00AC0E4A"/>
    <w:rsid w:val="00AC15AF"/>
    <w:rsid w:val="00AC1A7C"/>
    <w:rsid w:val="00AC2701"/>
    <w:rsid w:val="00AC390A"/>
    <w:rsid w:val="00AC5CDB"/>
    <w:rsid w:val="00AC62F0"/>
    <w:rsid w:val="00AD0BCE"/>
    <w:rsid w:val="00AD34A8"/>
    <w:rsid w:val="00AD35F4"/>
    <w:rsid w:val="00AD36EE"/>
    <w:rsid w:val="00AD430A"/>
    <w:rsid w:val="00AD4C6D"/>
    <w:rsid w:val="00AE0CCC"/>
    <w:rsid w:val="00AE1167"/>
    <w:rsid w:val="00AE1E60"/>
    <w:rsid w:val="00AE426F"/>
    <w:rsid w:val="00AF07E0"/>
    <w:rsid w:val="00AF1C06"/>
    <w:rsid w:val="00AF2FF1"/>
    <w:rsid w:val="00AF3260"/>
    <w:rsid w:val="00AF783B"/>
    <w:rsid w:val="00AF796F"/>
    <w:rsid w:val="00B01E6D"/>
    <w:rsid w:val="00B04717"/>
    <w:rsid w:val="00B05D15"/>
    <w:rsid w:val="00B07469"/>
    <w:rsid w:val="00B14793"/>
    <w:rsid w:val="00B14B3D"/>
    <w:rsid w:val="00B14BFF"/>
    <w:rsid w:val="00B204B0"/>
    <w:rsid w:val="00B212A9"/>
    <w:rsid w:val="00B22B82"/>
    <w:rsid w:val="00B235C9"/>
    <w:rsid w:val="00B30431"/>
    <w:rsid w:val="00B360DD"/>
    <w:rsid w:val="00B364DA"/>
    <w:rsid w:val="00B36FE6"/>
    <w:rsid w:val="00B45E9E"/>
    <w:rsid w:val="00B47D2E"/>
    <w:rsid w:val="00B5000D"/>
    <w:rsid w:val="00B500E3"/>
    <w:rsid w:val="00B51BE3"/>
    <w:rsid w:val="00B5719C"/>
    <w:rsid w:val="00B60791"/>
    <w:rsid w:val="00B618D2"/>
    <w:rsid w:val="00B624EE"/>
    <w:rsid w:val="00B657F9"/>
    <w:rsid w:val="00B70A8C"/>
    <w:rsid w:val="00B716C9"/>
    <w:rsid w:val="00B71731"/>
    <w:rsid w:val="00B71C7C"/>
    <w:rsid w:val="00B72B48"/>
    <w:rsid w:val="00B73063"/>
    <w:rsid w:val="00B81E8B"/>
    <w:rsid w:val="00B82AB4"/>
    <w:rsid w:val="00B82E38"/>
    <w:rsid w:val="00B83045"/>
    <w:rsid w:val="00B8351B"/>
    <w:rsid w:val="00B908F2"/>
    <w:rsid w:val="00B93A1E"/>
    <w:rsid w:val="00B96346"/>
    <w:rsid w:val="00B97C48"/>
    <w:rsid w:val="00BA1E84"/>
    <w:rsid w:val="00BA2111"/>
    <w:rsid w:val="00BA4154"/>
    <w:rsid w:val="00BA5D35"/>
    <w:rsid w:val="00BA6DA0"/>
    <w:rsid w:val="00BB11A0"/>
    <w:rsid w:val="00BB1234"/>
    <w:rsid w:val="00BB2BDB"/>
    <w:rsid w:val="00BB3BBA"/>
    <w:rsid w:val="00BB41D1"/>
    <w:rsid w:val="00BB441C"/>
    <w:rsid w:val="00BB674D"/>
    <w:rsid w:val="00BB7C41"/>
    <w:rsid w:val="00BC2486"/>
    <w:rsid w:val="00BC34A2"/>
    <w:rsid w:val="00BC39D1"/>
    <w:rsid w:val="00BC3CD3"/>
    <w:rsid w:val="00BC54F1"/>
    <w:rsid w:val="00BC5CC7"/>
    <w:rsid w:val="00BD0493"/>
    <w:rsid w:val="00BD0A0E"/>
    <w:rsid w:val="00BD3AE9"/>
    <w:rsid w:val="00BD7368"/>
    <w:rsid w:val="00BD7A68"/>
    <w:rsid w:val="00BD7EAB"/>
    <w:rsid w:val="00BE1F1A"/>
    <w:rsid w:val="00BE240B"/>
    <w:rsid w:val="00BE2F12"/>
    <w:rsid w:val="00BE318B"/>
    <w:rsid w:val="00BE34B1"/>
    <w:rsid w:val="00BE44ED"/>
    <w:rsid w:val="00BE5274"/>
    <w:rsid w:val="00BE5A05"/>
    <w:rsid w:val="00BF0973"/>
    <w:rsid w:val="00BF6416"/>
    <w:rsid w:val="00BF7EB8"/>
    <w:rsid w:val="00C03541"/>
    <w:rsid w:val="00C04350"/>
    <w:rsid w:val="00C05B4F"/>
    <w:rsid w:val="00C06C13"/>
    <w:rsid w:val="00C06D84"/>
    <w:rsid w:val="00C16FD9"/>
    <w:rsid w:val="00C2019B"/>
    <w:rsid w:val="00C20AE2"/>
    <w:rsid w:val="00C27616"/>
    <w:rsid w:val="00C31821"/>
    <w:rsid w:val="00C31E8E"/>
    <w:rsid w:val="00C31F1F"/>
    <w:rsid w:val="00C34688"/>
    <w:rsid w:val="00C34F11"/>
    <w:rsid w:val="00C35622"/>
    <w:rsid w:val="00C3578A"/>
    <w:rsid w:val="00C36A66"/>
    <w:rsid w:val="00C40BBD"/>
    <w:rsid w:val="00C40D9C"/>
    <w:rsid w:val="00C41805"/>
    <w:rsid w:val="00C458A6"/>
    <w:rsid w:val="00C46533"/>
    <w:rsid w:val="00C4781B"/>
    <w:rsid w:val="00C5225A"/>
    <w:rsid w:val="00C5341D"/>
    <w:rsid w:val="00C54471"/>
    <w:rsid w:val="00C54887"/>
    <w:rsid w:val="00C600B6"/>
    <w:rsid w:val="00C618C1"/>
    <w:rsid w:val="00C61B21"/>
    <w:rsid w:val="00C6321B"/>
    <w:rsid w:val="00C636F2"/>
    <w:rsid w:val="00C667AD"/>
    <w:rsid w:val="00C67E04"/>
    <w:rsid w:val="00C72DF8"/>
    <w:rsid w:val="00C73AF3"/>
    <w:rsid w:val="00C757BC"/>
    <w:rsid w:val="00C75A19"/>
    <w:rsid w:val="00C75A56"/>
    <w:rsid w:val="00C75F05"/>
    <w:rsid w:val="00C7642F"/>
    <w:rsid w:val="00C810E8"/>
    <w:rsid w:val="00C81CF4"/>
    <w:rsid w:val="00C821CC"/>
    <w:rsid w:val="00C83623"/>
    <w:rsid w:val="00C84357"/>
    <w:rsid w:val="00C85E19"/>
    <w:rsid w:val="00C90EF6"/>
    <w:rsid w:val="00C91AA2"/>
    <w:rsid w:val="00C92B15"/>
    <w:rsid w:val="00C94FDB"/>
    <w:rsid w:val="00C97FB7"/>
    <w:rsid w:val="00CA0175"/>
    <w:rsid w:val="00CA26CC"/>
    <w:rsid w:val="00CA2CF5"/>
    <w:rsid w:val="00CA481B"/>
    <w:rsid w:val="00CA5C50"/>
    <w:rsid w:val="00CA66E3"/>
    <w:rsid w:val="00CB0F4C"/>
    <w:rsid w:val="00CB0F66"/>
    <w:rsid w:val="00CB3CD5"/>
    <w:rsid w:val="00CB5F16"/>
    <w:rsid w:val="00CB6015"/>
    <w:rsid w:val="00CC1AA5"/>
    <w:rsid w:val="00CC2333"/>
    <w:rsid w:val="00CC3D5B"/>
    <w:rsid w:val="00CC56F4"/>
    <w:rsid w:val="00CC578D"/>
    <w:rsid w:val="00CC5D68"/>
    <w:rsid w:val="00CD0440"/>
    <w:rsid w:val="00CD1231"/>
    <w:rsid w:val="00CD1AA9"/>
    <w:rsid w:val="00CD4323"/>
    <w:rsid w:val="00CD4E4F"/>
    <w:rsid w:val="00CD56A0"/>
    <w:rsid w:val="00CD585D"/>
    <w:rsid w:val="00CD5926"/>
    <w:rsid w:val="00CD5C59"/>
    <w:rsid w:val="00CD6140"/>
    <w:rsid w:val="00CD764D"/>
    <w:rsid w:val="00CE2652"/>
    <w:rsid w:val="00CE3EEE"/>
    <w:rsid w:val="00CE620F"/>
    <w:rsid w:val="00CE75D1"/>
    <w:rsid w:val="00CF0969"/>
    <w:rsid w:val="00CF29AE"/>
    <w:rsid w:val="00CF3D41"/>
    <w:rsid w:val="00CF3FCA"/>
    <w:rsid w:val="00CF4FA1"/>
    <w:rsid w:val="00CF53B5"/>
    <w:rsid w:val="00CF68B0"/>
    <w:rsid w:val="00CF7FD1"/>
    <w:rsid w:val="00D0128D"/>
    <w:rsid w:val="00D0149C"/>
    <w:rsid w:val="00D02404"/>
    <w:rsid w:val="00D02D1E"/>
    <w:rsid w:val="00D03A85"/>
    <w:rsid w:val="00D03F7E"/>
    <w:rsid w:val="00D04428"/>
    <w:rsid w:val="00D0501F"/>
    <w:rsid w:val="00D05033"/>
    <w:rsid w:val="00D05057"/>
    <w:rsid w:val="00D057BD"/>
    <w:rsid w:val="00D0679C"/>
    <w:rsid w:val="00D11757"/>
    <w:rsid w:val="00D11D70"/>
    <w:rsid w:val="00D12BB8"/>
    <w:rsid w:val="00D133D7"/>
    <w:rsid w:val="00D15911"/>
    <w:rsid w:val="00D159E3"/>
    <w:rsid w:val="00D1641B"/>
    <w:rsid w:val="00D20DA3"/>
    <w:rsid w:val="00D217C3"/>
    <w:rsid w:val="00D222B8"/>
    <w:rsid w:val="00D22DFE"/>
    <w:rsid w:val="00D25769"/>
    <w:rsid w:val="00D26C22"/>
    <w:rsid w:val="00D30622"/>
    <w:rsid w:val="00D33D96"/>
    <w:rsid w:val="00D3490D"/>
    <w:rsid w:val="00D35B55"/>
    <w:rsid w:val="00D42C58"/>
    <w:rsid w:val="00D445E4"/>
    <w:rsid w:val="00D44963"/>
    <w:rsid w:val="00D46EA3"/>
    <w:rsid w:val="00D474BC"/>
    <w:rsid w:val="00D51BC1"/>
    <w:rsid w:val="00D524DC"/>
    <w:rsid w:val="00D54D36"/>
    <w:rsid w:val="00D54E7B"/>
    <w:rsid w:val="00D573FE"/>
    <w:rsid w:val="00D57C3B"/>
    <w:rsid w:val="00D6661D"/>
    <w:rsid w:val="00D733B7"/>
    <w:rsid w:val="00D738C0"/>
    <w:rsid w:val="00D81C56"/>
    <w:rsid w:val="00D8354D"/>
    <w:rsid w:val="00D83877"/>
    <w:rsid w:val="00D83CBA"/>
    <w:rsid w:val="00D85FB5"/>
    <w:rsid w:val="00D9309B"/>
    <w:rsid w:val="00D95CDB"/>
    <w:rsid w:val="00D96C76"/>
    <w:rsid w:val="00D96E07"/>
    <w:rsid w:val="00D976BC"/>
    <w:rsid w:val="00D97EB7"/>
    <w:rsid w:val="00DA511B"/>
    <w:rsid w:val="00DA5513"/>
    <w:rsid w:val="00DA7CAB"/>
    <w:rsid w:val="00DB1D1B"/>
    <w:rsid w:val="00DB3E99"/>
    <w:rsid w:val="00DB738A"/>
    <w:rsid w:val="00DB75F8"/>
    <w:rsid w:val="00DC30E7"/>
    <w:rsid w:val="00DC373D"/>
    <w:rsid w:val="00DC4954"/>
    <w:rsid w:val="00DC4CFC"/>
    <w:rsid w:val="00DC4E9A"/>
    <w:rsid w:val="00DC7011"/>
    <w:rsid w:val="00DD02CB"/>
    <w:rsid w:val="00DD20CB"/>
    <w:rsid w:val="00DD36AE"/>
    <w:rsid w:val="00DE06A5"/>
    <w:rsid w:val="00DE0FAE"/>
    <w:rsid w:val="00DE161B"/>
    <w:rsid w:val="00DE2F06"/>
    <w:rsid w:val="00DE7AAD"/>
    <w:rsid w:val="00DF20C5"/>
    <w:rsid w:val="00DF2412"/>
    <w:rsid w:val="00DF2BEB"/>
    <w:rsid w:val="00DF449A"/>
    <w:rsid w:val="00DF771E"/>
    <w:rsid w:val="00DF786B"/>
    <w:rsid w:val="00DF7BA0"/>
    <w:rsid w:val="00E01044"/>
    <w:rsid w:val="00E0124B"/>
    <w:rsid w:val="00E046ED"/>
    <w:rsid w:val="00E05148"/>
    <w:rsid w:val="00E05C90"/>
    <w:rsid w:val="00E064AA"/>
    <w:rsid w:val="00E06627"/>
    <w:rsid w:val="00E131CC"/>
    <w:rsid w:val="00E134D4"/>
    <w:rsid w:val="00E13B8F"/>
    <w:rsid w:val="00E14534"/>
    <w:rsid w:val="00E20043"/>
    <w:rsid w:val="00E20B36"/>
    <w:rsid w:val="00E2294E"/>
    <w:rsid w:val="00E231BC"/>
    <w:rsid w:val="00E2324A"/>
    <w:rsid w:val="00E23A3A"/>
    <w:rsid w:val="00E261F3"/>
    <w:rsid w:val="00E30934"/>
    <w:rsid w:val="00E318D3"/>
    <w:rsid w:val="00E32B93"/>
    <w:rsid w:val="00E33530"/>
    <w:rsid w:val="00E33E5E"/>
    <w:rsid w:val="00E35FB3"/>
    <w:rsid w:val="00E361CF"/>
    <w:rsid w:val="00E37366"/>
    <w:rsid w:val="00E41E54"/>
    <w:rsid w:val="00E440F2"/>
    <w:rsid w:val="00E4481F"/>
    <w:rsid w:val="00E45C34"/>
    <w:rsid w:val="00E46707"/>
    <w:rsid w:val="00E47E55"/>
    <w:rsid w:val="00E50DF8"/>
    <w:rsid w:val="00E51A9F"/>
    <w:rsid w:val="00E51FEC"/>
    <w:rsid w:val="00E5471A"/>
    <w:rsid w:val="00E54779"/>
    <w:rsid w:val="00E54CE8"/>
    <w:rsid w:val="00E55606"/>
    <w:rsid w:val="00E57E43"/>
    <w:rsid w:val="00E60413"/>
    <w:rsid w:val="00E67251"/>
    <w:rsid w:val="00E70139"/>
    <w:rsid w:val="00E71451"/>
    <w:rsid w:val="00E731C5"/>
    <w:rsid w:val="00E77D52"/>
    <w:rsid w:val="00E77EEB"/>
    <w:rsid w:val="00E90CED"/>
    <w:rsid w:val="00E951E9"/>
    <w:rsid w:val="00E958E2"/>
    <w:rsid w:val="00E9725D"/>
    <w:rsid w:val="00EA22BD"/>
    <w:rsid w:val="00EA39BC"/>
    <w:rsid w:val="00EA4C2B"/>
    <w:rsid w:val="00EA4ED5"/>
    <w:rsid w:val="00EA65F1"/>
    <w:rsid w:val="00EA6D41"/>
    <w:rsid w:val="00EA7544"/>
    <w:rsid w:val="00EB13E5"/>
    <w:rsid w:val="00EB3D86"/>
    <w:rsid w:val="00EB42C3"/>
    <w:rsid w:val="00EB4A66"/>
    <w:rsid w:val="00EB4EC4"/>
    <w:rsid w:val="00EB5773"/>
    <w:rsid w:val="00EB7B36"/>
    <w:rsid w:val="00EC37B1"/>
    <w:rsid w:val="00EC40EE"/>
    <w:rsid w:val="00EC50D4"/>
    <w:rsid w:val="00EC5D57"/>
    <w:rsid w:val="00EC6F9F"/>
    <w:rsid w:val="00ED06AF"/>
    <w:rsid w:val="00ED0CB4"/>
    <w:rsid w:val="00ED3655"/>
    <w:rsid w:val="00ED6A65"/>
    <w:rsid w:val="00ED7506"/>
    <w:rsid w:val="00ED7F55"/>
    <w:rsid w:val="00EE23F5"/>
    <w:rsid w:val="00EE2C82"/>
    <w:rsid w:val="00EE359E"/>
    <w:rsid w:val="00EE475E"/>
    <w:rsid w:val="00EE49DE"/>
    <w:rsid w:val="00EE6A91"/>
    <w:rsid w:val="00EF0BD2"/>
    <w:rsid w:val="00EF2131"/>
    <w:rsid w:val="00EF39A8"/>
    <w:rsid w:val="00EF3CCA"/>
    <w:rsid w:val="00EF5419"/>
    <w:rsid w:val="00EF55DD"/>
    <w:rsid w:val="00EF5AC1"/>
    <w:rsid w:val="00F00B6C"/>
    <w:rsid w:val="00F021D3"/>
    <w:rsid w:val="00F03C9C"/>
    <w:rsid w:val="00F04393"/>
    <w:rsid w:val="00F051DB"/>
    <w:rsid w:val="00F058A1"/>
    <w:rsid w:val="00F0672A"/>
    <w:rsid w:val="00F06EB6"/>
    <w:rsid w:val="00F1161F"/>
    <w:rsid w:val="00F12B0F"/>
    <w:rsid w:val="00F15DE0"/>
    <w:rsid w:val="00F17F98"/>
    <w:rsid w:val="00F20FA6"/>
    <w:rsid w:val="00F22E26"/>
    <w:rsid w:val="00F25CE1"/>
    <w:rsid w:val="00F26E4C"/>
    <w:rsid w:val="00F27F32"/>
    <w:rsid w:val="00F305C4"/>
    <w:rsid w:val="00F30E31"/>
    <w:rsid w:val="00F3228C"/>
    <w:rsid w:val="00F32A1B"/>
    <w:rsid w:val="00F33948"/>
    <w:rsid w:val="00F33B3B"/>
    <w:rsid w:val="00F4068E"/>
    <w:rsid w:val="00F40FF2"/>
    <w:rsid w:val="00F43326"/>
    <w:rsid w:val="00F44328"/>
    <w:rsid w:val="00F44CCF"/>
    <w:rsid w:val="00F45096"/>
    <w:rsid w:val="00F45572"/>
    <w:rsid w:val="00F4598E"/>
    <w:rsid w:val="00F46D97"/>
    <w:rsid w:val="00F51C8D"/>
    <w:rsid w:val="00F52150"/>
    <w:rsid w:val="00F52BE0"/>
    <w:rsid w:val="00F54749"/>
    <w:rsid w:val="00F56BA3"/>
    <w:rsid w:val="00F56F0E"/>
    <w:rsid w:val="00F6086D"/>
    <w:rsid w:val="00F618DA"/>
    <w:rsid w:val="00F61A2E"/>
    <w:rsid w:val="00F6341C"/>
    <w:rsid w:val="00F63EF2"/>
    <w:rsid w:val="00F64F0A"/>
    <w:rsid w:val="00F672F3"/>
    <w:rsid w:val="00F713E7"/>
    <w:rsid w:val="00F73652"/>
    <w:rsid w:val="00F7563B"/>
    <w:rsid w:val="00F76477"/>
    <w:rsid w:val="00F84320"/>
    <w:rsid w:val="00F867A7"/>
    <w:rsid w:val="00F86AA1"/>
    <w:rsid w:val="00F935B8"/>
    <w:rsid w:val="00F9417B"/>
    <w:rsid w:val="00F94461"/>
    <w:rsid w:val="00FA33A0"/>
    <w:rsid w:val="00FB21FA"/>
    <w:rsid w:val="00FB2258"/>
    <w:rsid w:val="00FB3390"/>
    <w:rsid w:val="00FB5BD9"/>
    <w:rsid w:val="00FB7BB4"/>
    <w:rsid w:val="00FC02D6"/>
    <w:rsid w:val="00FC2772"/>
    <w:rsid w:val="00FC2C8F"/>
    <w:rsid w:val="00FC34C7"/>
    <w:rsid w:val="00FC3666"/>
    <w:rsid w:val="00FC3CA7"/>
    <w:rsid w:val="00FC671B"/>
    <w:rsid w:val="00FC6CAF"/>
    <w:rsid w:val="00FC73E5"/>
    <w:rsid w:val="00FD0D2F"/>
    <w:rsid w:val="00FD1896"/>
    <w:rsid w:val="00FD2EAD"/>
    <w:rsid w:val="00FD3BBE"/>
    <w:rsid w:val="00FD5FFE"/>
    <w:rsid w:val="00FD60F1"/>
    <w:rsid w:val="00FE45DC"/>
    <w:rsid w:val="00FE497B"/>
    <w:rsid w:val="00FE6ADB"/>
    <w:rsid w:val="00FF2701"/>
    <w:rsid w:val="00FF5107"/>
    <w:rsid w:val="00FF6010"/>
    <w:rsid w:val="00FF6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3A43"/>
  <w15:chartTrackingRefBased/>
  <w15:docId w15:val="{47878071-9BEB-0348-A94A-B1B54F52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9B9"/>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E29B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E29B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E29B9"/>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E29B9"/>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E29B9"/>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E29B9"/>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E29B9"/>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E29B9"/>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E29B9"/>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9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9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9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9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9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9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9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9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9B9"/>
    <w:rPr>
      <w:rFonts w:eastAsiaTheme="majorEastAsia" w:cstheme="majorBidi"/>
      <w:color w:val="272727" w:themeColor="text1" w:themeTint="D8"/>
    </w:rPr>
  </w:style>
  <w:style w:type="paragraph" w:styleId="Title">
    <w:name w:val="Title"/>
    <w:basedOn w:val="Normal"/>
    <w:next w:val="Normal"/>
    <w:link w:val="TitleChar"/>
    <w:uiPriority w:val="10"/>
    <w:qFormat/>
    <w:rsid w:val="002E29B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E2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9B9"/>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E29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9B9"/>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E29B9"/>
    <w:rPr>
      <w:i/>
      <w:iCs/>
      <w:color w:val="404040" w:themeColor="text1" w:themeTint="BF"/>
    </w:rPr>
  </w:style>
  <w:style w:type="paragraph" w:styleId="ListParagraph">
    <w:name w:val="List Paragraph"/>
    <w:basedOn w:val="Normal"/>
    <w:uiPriority w:val="34"/>
    <w:qFormat/>
    <w:rsid w:val="002E29B9"/>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E29B9"/>
    <w:rPr>
      <w:i/>
      <w:iCs/>
      <w:color w:val="0F4761" w:themeColor="accent1" w:themeShade="BF"/>
    </w:rPr>
  </w:style>
  <w:style w:type="paragraph" w:styleId="IntenseQuote">
    <w:name w:val="Intense Quote"/>
    <w:basedOn w:val="Normal"/>
    <w:next w:val="Normal"/>
    <w:link w:val="IntenseQuoteChar"/>
    <w:uiPriority w:val="30"/>
    <w:qFormat/>
    <w:rsid w:val="002E29B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E29B9"/>
    <w:rPr>
      <w:i/>
      <w:iCs/>
      <w:color w:val="0F4761" w:themeColor="accent1" w:themeShade="BF"/>
    </w:rPr>
  </w:style>
  <w:style w:type="character" w:styleId="IntenseReference">
    <w:name w:val="Intense Reference"/>
    <w:basedOn w:val="DefaultParagraphFont"/>
    <w:uiPriority w:val="32"/>
    <w:qFormat/>
    <w:rsid w:val="002E29B9"/>
    <w:rPr>
      <w:b/>
      <w:bCs/>
      <w:smallCaps/>
      <w:color w:val="0F4761" w:themeColor="accent1" w:themeShade="BF"/>
      <w:spacing w:val="5"/>
    </w:rPr>
  </w:style>
  <w:style w:type="character" w:styleId="Hyperlink">
    <w:name w:val="Hyperlink"/>
    <w:rsid w:val="002E29B9"/>
    <w:rPr>
      <w:color w:val="0000FF"/>
      <w:u w:val="single"/>
    </w:rPr>
  </w:style>
  <w:style w:type="character" w:styleId="CommentReference">
    <w:name w:val="annotation reference"/>
    <w:rsid w:val="002E29B9"/>
    <w:rPr>
      <w:sz w:val="16"/>
      <w:szCs w:val="16"/>
    </w:rPr>
  </w:style>
  <w:style w:type="paragraph" w:styleId="CommentText">
    <w:name w:val="annotation text"/>
    <w:basedOn w:val="Normal"/>
    <w:link w:val="CommentTextChar"/>
    <w:rsid w:val="002E29B9"/>
    <w:rPr>
      <w:sz w:val="20"/>
      <w:szCs w:val="20"/>
    </w:rPr>
  </w:style>
  <w:style w:type="character" w:customStyle="1" w:styleId="CommentTextChar">
    <w:name w:val="Comment Text Char"/>
    <w:basedOn w:val="DefaultParagraphFont"/>
    <w:link w:val="CommentText"/>
    <w:rsid w:val="002E29B9"/>
    <w:rPr>
      <w:rFonts w:ascii="Times New Roman" w:eastAsia="Times New Roman" w:hAnsi="Times New Roman" w:cs="Times New Roman"/>
      <w:kern w:val="0"/>
      <w:sz w:val="20"/>
      <w:szCs w:val="20"/>
      <w14:ligatures w14:val="none"/>
    </w:rPr>
  </w:style>
  <w:style w:type="character" w:customStyle="1" w:styleId="ICBAbold">
    <w:name w:val="ICBA bold"/>
    <w:rsid w:val="002E29B9"/>
    <w:rPr>
      <w:b/>
    </w:rPr>
  </w:style>
  <w:style w:type="paragraph" w:styleId="Header">
    <w:name w:val="header"/>
    <w:basedOn w:val="Normal"/>
    <w:link w:val="HeaderChar"/>
    <w:uiPriority w:val="99"/>
    <w:unhideWhenUsed/>
    <w:rsid w:val="00BC2486"/>
    <w:pPr>
      <w:tabs>
        <w:tab w:val="center" w:pos="4680"/>
        <w:tab w:val="right" w:pos="9360"/>
      </w:tabs>
    </w:pPr>
  </w:style>
  <w:style w:type="character" w:customStyle="1" w:styleId="HeaderChar">
    <w:name w:val="Header Char"/>
    <w:basedOn w:val="DefaultParagraphFont"/>
    <w:link w:val="Header"/>
    <w:uiPriority w:val="99"/>
    <w:rsid w:val="00BC248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C2486"/>
    <w:pPr>
      <w:tabs>
        <w:tab w:val="center" w:pos="4680"/>
        <w:tab w:val="right" w:pos="9360"/>
      </w:tabs>
    </w:pPr>
  </w:style>
  <w:style w:type="character" w:customStyle="1" w:styleId="FooterChar">
    <w:name w:val="Footer Char"/>
    <w:basedOn w:val="DefaultParagraphFont"/>
    <w:link w:val="Footer"/>
    <w:uiPriority w:val="99"/>
    <w:rsid w:val="00BC2486"/>
    <w:rPr>
      <w:rFonts w:ascii="Times New Roman" w:eastAsia="Times New Roman" w:hAnsi="Times New Roman" w:cs="Times New Roman"/>
      <w:kern w:val="0"/>
      <w14:ligatures w14:val="none"/>
    </w:rPr>
  </w:style>
  <w:style w:type="paragraph" w:styleId="Revision">
    <w:name w:val="Revision"/>
    <w:hidden/>
    <w:uiPriority w:val="99"/>
    <w:semiHidden/>
    <w:rsid w:val="00243ED6"/>
    <w:rPr>
      <w:rFonts w:ascii="Times New Roman" w:eastAsia="Times New Roman" w:hAnsi="Times New Roman" w:cs="Times New Roman"/>
      <w:kern w:val="0"/>
      <w14:ligatures w14:val="none"/>
    </w:rPr>
  </w:style>
  <w:style w:type="paragraph" w:styleId="CommentSubject">
    <w:name w:val="annotation subject"/>
    <w:basedOn w:val="CommentText"/>
    <w:next w:val="CommentText"/>
    <w:link w:val="CommentSubjectChar"/>
    <w:uiPriority w:val="99"/>
    <w:semiHidden/>
    <w:unhideWhenUsed/>
    <w:rsid w:val="00243ED6"/>
    <w:rPr>
      <w:b/>
      <w:bCs/>
    </w:rPr>
  </w:style>
  <w:style w:type="character" w:customStyle="1" w:styleId="CommentSubjectChar">
    <w:name w:val="Comment Subject Char"/>
    <w:basedOn w:val="CommentTextChar"/>
    <w:link w:val="CommentSubject"/>
    <w:uiPriority w:val="99"/>
    <w:semiHidden/>
    <w:rsid w:val="00243ED6"/>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eber@icbasecurities.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reber@icbasecurities.com" TargetMode="Externa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C213B-81F8-9841-BBF5-B00A8A2B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Bennett</dc:creator>
  <cp:keywords/>
  <dc:description/>
  <cp:lastModifiedBy>Rachel Hatcher</cp:lastModifiedBy>
  <cp:revision>2</cp:revision>
  <dcterms:created xsi:type="dcterms:W3CDTF">2024-04-25T14:33:00Z</dcterms:created>
  <dcterms:modified xsi:type="dcterms:W3CDTF">2024-04-25T14:33:00Z</dcterms:modified>
</cp:coreProperties>
</file>