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4869" w14:textId="77777777" w:rsidR="002E29B9" w:rsidRPr="005E71B0" w:rsidRDefault="002E29B9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r w:rsidRPr="005E71B0">
        <w:rPr>
          <w:rStyle w:val="ICBAbold"/>
        </w:rPr>
        <w:t>Independent Banker</w:t>
      </w:r>
    </w:p>
    <w:p w14:paraId="08AEA3EA" w14:textId="67FD6604" w:rsidR="002E29B9" w:rsidRPr="005E71B0" w:rsidRDefault="007B6A1A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r>
        <w:rPr>
          <w:rStyle w:val="ICBAbold"/>
        </w:rPr>
        <w:t>August</w:t>
      </w:r>
      <w:r w:rsidR="002E29B9" w:rsidRPr="005E71B0">
        <w:rPr>
          <w:rStyle w:val="ICBAbold"/>
        </w:rPr>
        <w:t xml:space="preserve"> 2024</w:t>
      </w:r>
    </w:p>
    <w:p w14:paraId="2ED2EB3A" w14:textId="77777777" w:rsidR="002E29B9" w:rsidRPr="005E71B0" w:rsidRDefault="002E29B9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5E71B0">
        <w:rPr>
          <w:rStyle w:val="ICBAbold"/>
          <w:bCs/>
        </w:rPr>
        <w:t xml:space="preserve">Portfolio </w:t>
      </w:r>
    </w:p>
    <w:p w14:paraId="6C96D1C8" w14:textId="77777777" w:rsidR="002E29B9" w:rsidRPr="005E71B0" w:rsidRDefault="002E29B9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5E71B0">
        <w:rPr>
          <w:rStyle w:val="ICBAbold"/>
          <w:color w:val="FF0000"/>
        </w:rPr>
        <w:t xml:space="preserve">[tag] </w:t>
      </w:r>
      <w:r w:rsidRPr="005E71B0">
        <w:rPr>
          <w:rStyle w:val="ICBAbold"/>
          <w:bCs/>
        </w:rPr>
        <w:t>Portfolio Management</w:t>
      </w:r>
    </w:p>
    <w:p w14:paraId="70FACAF5" w14:textId="39A83E8E" w:rsidR="002E29B9" w:rsidRPr="005E71B0" w:rsidRDefault="002E29B9" w:rsidP="002E29B9">
      <w:pPr>
        <w:tabs>
          <w:tab w:val="left" w:pos="540"/>
        </w:tabs>
        <w:spacing w:after="240" w:line="276" w:lineRule="auto"/>
        <w:rPr>
          <w:b/>
        </w:rPr>
      </w:pPr>
      <w:r w:rsidRPr="005E71B0">
        <w:rPr>
          <w:rStyle w:val="ICBAbold"/>
          <w:color w:val="FF0000"/>
        </w:rPr>
        <w:t>[</w:t>
      </w:r>
      <w:proofErr w:type="spellStart"/>
      <w:r w:rsidRPr="005E71B0">
        <w:rPr>
          <w:rStyle w:val="ICBAbold"/>
          <w:color w:val="FF0000"/>
        </w:rPr>
        <w:t>hed</w:t>
      </w:r>
      <w:proofErr w:type="spellEnd"/>
      <w:r w:rsidRPr="005E71B0">
        <w:rPr>
          <w:rStyle w:val="ICBAbold"/>
          <w:color w:val="FF0000"/>
        </w:rPr>
        <w:t xml:space="preserve">] </w:t>
      </w:r>
      <w:r w:rsidR="00B222EB">
        <w:rPr>
          <w:b/>
        </w:rPr>
        <w:t>Moving on up</w:t>
      </w:r>
    </w:p>
    <w:p w14:paraId="60490905" w14:textId="00B085DF" w:rsidR="002E29B9" w:rsidRPr="005E71B0" w:rsidRDefault="002E29B9" w:rsidP="002E29B9">
      <w:pPr>
        <w:tabs>
          <w:tab w:val="left" w:pos="540"/>
        </w:tabs>
        <w:spacing w:after="240" w:line="276" w:lineRule="auto"/>
      </w:pPr>
      <w:r w:rsidRPr="005E71B0">
        <w:rPr>
          <w:rStyle w:val="ICBAbold"/>
          <w:color w:val="FF0000"/>
        </w:rPr>
        <w:t>[</w:t>
      </w:r>
      <w:proofErr w:type="spellStart"/>
      <w:r w:rsidRPr="005E71B0">
        <w:rPr>
          <w:rStyle w:val="ICBAbold"/>
          <w:color w:val="FF0000"/>
        </w:rPr>
        <w:t>dek</w:t>
      </w:r>
      <w:proofErr w:type="spellEnd"/>
      <w:r w:rsidRPr="005E71B0">
        <w:rPr>
          <w:rStyle w:val="ICBAbold"/>
          <w:color w:val="FF0000"/>
        </w:rPr>
        <w:t xml:space="preserve">] </w:t>
      </w:r>
      <w:r w:rsidR="00B222EB">
        <w:t>Bond portfolio</w:t>
      </w:r>
      <w:r w:rsidR="00F41C64">
        <w:t xml:space="preserve">s’ yields </w:t>
      </w:r>
      <w:r w:rsidR="005572A4">
        <w:t xml:space="preserve">are </w:t>
      </w:r>
      <w:r w:rsidR="00F41C64">
        <w:t>beginning to catch up</w:t>
      </w:r>
      <w:r w:rsidR="005572A4">
        <w:t>.</w:t>
      </w:r>
    </w:p>
    <w:p w14:paraId="6CEBF3EF" w14:textId="77777777" w:rsidR="002E29B9" w:rsidRPr="005E71B0" w:rsidRDefault="002E29B9" w:rsidP="002E29B9">
      <w:pPr>
        <w:tabs>
          <w:tab w:val="left" w:pos="540"/>
        </w:tabs>
        <w:spacing w:after="240" w:line="276" w:lineRule="auto"/>
        <w:rPr>
          <w:rStyle w:val="ICBAbold"/>
        </w:rPr>
      </w:pPr>
      <w:r w:rsidRPr="005E71B0">
        <w:rPr>
          <w:rStyle w:val="ICBAbold"/>
          <w:color w:val="FF0000"/>
        </w:rPr>
        <w:t xml:space="preserve">[byline] </w:t>
      </w:r>
      <w:r w:rsidRPr="005E71B0">
        <w:rPr>
          <w:rStyle w:val="ICBAbold"/>
        </w:rPr>
        <w:t>By Jim Reber, ICBA Securities</w:t>
      </w:r>
    </w:p>
    <w:p w14:paraId="36E99AA6" w14:textId="2369D59A" w:rsidR="002E29B9" w:rsidRDefault="002E6E19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Finally, mercifully</w:t>
      </w:r>
      <w:r w:rsidR="005572A4">
        <w:rPr>
          <w:rStyle w:val="ICBAbold"/>
          <w:b w:val="0"/>
          <w:bCs/>
        </w:rPr>
        <w:t xml:space="preserve"> and</w:t>
      </w:r>
      <w:r>
        <w:rPr>
          <w:rStyle w:val="ICBAbold"/>
          <w:b w:val="0"/>
          <w:bCs/>
        </w:rPr>
        <w:t xml:space="preserve"> happily, community banks are beginning to </w:t>
      </w:r>
      <w:r w:rsidR="0094296B">
        <w:rPr>
          <w:rStyle w:val="ICBAbold"/>
          <w:b w:val="0"/>
          <w:bCs/>
        </w:rPr>
        <w:t xml:space="preserve">book respectable returns from their </w:t>
      </w:r>
      <w:r w:rsidR="00333D84">
        <w:rPr>
          <w:rStyle w:val="ICBAbold"/>
          <w:b w:val="0"/>
          <w:bCs/>
        </w:rPr>
        <w:t xml:space="preserve">collection of bonds. And it stands to reason: Fed </w:t>
      </w:r>
      <w:r w:rsidR="00A775AC">
        <w:rPr>
          <w:rStyle w:val="ICBAbold"/>
          <w:b w:val="0"/>
          <w:bCs/>
        </w:rPr>
        <w:t xml:space="preserve">funds </w:t>
      </w:r>
      <w:r w:rsidR="00333D84">
        <w:rPr>
          <w:rStyle w:val="ICBAbold"/>
          <w:b w:val="0"/>
          <w:bCs/>
        </w:rPr>
        <w:t xml:space="preserve">have been stuck at a </w:t>
      </w:r>
      <w:r w:rsidR="00B63AF1">
        <w:rPr>
          <w:rStyle w:val="ICBAbold"/>
          <w:b w:val="0"/>
          <w:bCs/>
        </w:rPr>
        <w:t>23</w:t>
      </w:r>
      <w:r w:rsidR="00333D84">
        <w:rPr>
          <w:rStyle w:val="ICBAbold"/>
          <w:b w:val="0"/>
          <w:bCs/>
        </w:rPr>
        <w:t xml:space="preserve">-year high for </w:t>
      </w:r>
      <w:r w:rsidR="00274D10">
        <w:rPr>
          <w:rStyle w:val="ICBAbold"/>
          <w:b w:val="0"/>
          <w:bCs/>
        </w:rPr>
        <w:t xml:space="preserve">every bit of a year. </w:t>
      </w:r>
      <w:r w:rsidR="0053350A">
        <w:rPr>
          <w:rStyle w:val="ICBAbold"/>
          <w:b w:val="0"/>
          <w:bCs/>
        </w:rPr>
        <w:t xml:space="preserve">We can use </w:t>
      </w:r>
      <w:r w:rsidR="00D91FBB">
        <w:rPr>
          <w:rStyle w:val="ICBAbold"/>
          <w:b w:val="0"/>
          <w:bCs/>
        </w:rPr>
        <w:t xml:space="preserve">tired old yarns about the burgeoning </w:t>
      </w:r>
      <w:r w:rsidR="00D2282B">
        <w:rPr>
          <w:rStyle w:val="ICBAbold"/>
          <w:b w:val="0"/>
          <w:bCs/>
        </w:rPr>
        <w:t xml:space="preserve">improvement—rising tides, blind hogs, </w:t>
      </w:r>
      <w:r w:rsidR="005572A4" w:rsidRPr="003F02A3">
        <w:rPr>
          <w:rStyle w:val="ICBAbold"/>
          <w:b w:val="0"/>
          <w:bCs/>
        </w:rPr>
        <w:t>etc.</w:t>
      </w:r>
      <w:r w:rsidR="0040049A" w:rsidRPr="005572A4">
        <w:rPr>
          <w:rStyle w:val="ICBAbold"/>
          <w:b w:val="0"/>
          <w:bCs/>
        </w:rPr>
        <w:t>—</w:t>
      </w:r>
      <w:r w:rsidR="00A20F00">
        <w:rPr>
          <w:rStyle w:val="ICBAbold"/>
          <w:b w:val="0"/>
          <w:bCs/>
        </w:rPr>
        <w:t>but the fact remain</w:t>
      </w:r>
      <w:r w:rsidR="00A775AC">
        <w:rPr>
          <w:rStyle w:val="ICBAbold"/>
          <w:b w:val="0"/>
          <w:bCs/>
        </w:rPr>
        <w:t>s</w:t>
      </w:r>
      <w:r w:rsidR="00A20F00">
        <w:rPr>
          <w:rStyle w:val="ICBAbold"/>
          <w:b w:val="0"/>
          <w:bCs/>
        </w:rPr>
        <w:t xml:space="preserve"> </w:t>
      </w:r>
      <w:r w:rsidR="00083662">
        <w:rPr>
          <w:rStyle w:val="ICBAbold"/>
          <w:b w:val="0"/>
          <w:bCs/>
        </w:rPr>
        <w:t xml:space="preserve">this is an environment that you’ll probably be wishing for in the future. </w:t>
      </w:r>
    </w:p>
    <w:p w14:paraId="71A19E61" w14:textId="77777777" w:rsidR="007642A7" w:rsidRDefault="007642A7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</w:p>
    <w:p w14:paraId="29CC790E" w14:textId="7D218667" w:rsidR="00A775AC" w:rsidRDefault="00A50F83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  <w:r>
        <w:rPr>
          <w:rStyle w:val="ICBAbold"/>
          <w:b w:val="0"/>
          <w:bCs/>
        </w:rPr>
        <w:t xml:space="preserve">This factoid may surprise you: </w:t>
      </w:r>
      <w:r w:rsidR="005572A4">
        <w:rPr>
          <w:rStyle w:val="ICBAbold"/>
          <w:b w:val="0"/>
          <w:bCs/>
        </w:rPr>
        <w:t>C</w:t>
      </w:r>
      <w:r>
        <w:rPr>
          <w:rStyle w:val="ICBAbold"/>
          <w:b w:val="0"/>
          <w:bCs/>
        </w:rPr>
        <w:t>ommunity banks’ portfolio</w:t>
      </w:r>
      <w:r w:rsidR="002D45E4">
        <w:rPr>
          <w:rStyle w:val="ICBAbold"/>
          <w:b w:val="0"/>
          <w:bCs/>
        </w:rPr>
        <w:t xml:space="preserve"> yields</w:t>
      </w:r>
      <w:r>
        <w:rPr>
          <w:rStyle w:val="ICBAbold"/>
          <w:b w:val="0"/>
          <w:bCs/>
        </w:rPr>
        <w:t xml:space="preserve"> are now at their </w:t>
      </w:r>
      <w:r w:rsidR="002D45E4">
        <w:rPr>
          <w:rStyle w:val="ICBAbold"/>
          <w:b w:val="0"/>
          <w:bCs/>
        </w:rPr>
        <w:t>hi</w:t>
      </w:r>
      <w:r w:rsidR="009E6C09">
        <w:rPr>
          <w:rStyle w:val="ICBAbold"/>
          <w:b w:val="0"/>
          <w:bCs/>
        </w:rPr>
        <w:t>ghest level since at least 20</w:t>
      </w:r>
      <w:r w:rsidR="004C356E">
        <w:rPr>
          <w:rStyle w:val="ICBAbold"/>
          <w:b w:val="0"/>
          <w:bCs/>
        </w:rPr>
        <w:t>07</w:t>
      </w:r>
      <w:r w:rsidR="009E6C09">
        <w:rPr>
          <w:rStyle w:val="ICBAbold"/>
          <w:b w:val="0"/>
          <w:bCs/>
        </w:rPr>
        <w:t>.</w:t>
      </w:r>
      <w:r w:rsidR="000E0B57">
        <w:rPr>
          <w:rStyle w:val="ICBAbold"/>
          <w:b w:val="0"/>
          <w:bCs/>
        </w:rPr>
        <w:t xml:space="preserve"> There are reasons why it doesn’t seem like the bonds are </w:t>
      </w:r>
      <w:r w:rsidR="00731DB4">
        <w:rPr>
          <w:rStyle w:val="ICBAbold"/>
          <w:b w:val="0"/>
          <w:bCs/>
        </w:rPr>
        <w:t>carrying their share of the weight.</w:t>
      </w:r>
      <w:r w:rsidR="001B3D54">
        <w:rPr>
          <w:rStyle w:val="ICBAbold"/>
          <w:b w:val="0"/>
          <w:bCs/>
        </w:rPr>
        <w:t xml:space="preserve"> </w:t>
      </w:r>
      <w:r w:rsidR="00442BDD">
        <w:rPr>
          <w:rStyle w:val="ICBAbold"/>
          <w:b w:val="0"/>
          <w:bCs/>
        </w:rPr>
        <w:t xml:space="preserve">For one thing, portfolios have shrunk </w:t>
      </w:r>
      <w:r w:rsidR="00995CED">
        <w:rPr>
          <w:rStyle w:val="ICBAbold"/>
          <w:b w:val="0"/>
          <w:bCs/>
        </w:rPr>
        <w:t xml:space="preserve">in the </w:t>
      </w:r>
      <w:r w:rsidR="00A775AC">
        <w:rPr>
          <w:rStyle w:val="ICBAbold"/>
          <w:b w:val="0"/>
          <w:bCs/>
        </w:rPr>
        <w:t>p</w:t>
      </w:r>
      <w:r w:rsidR="00995CED">
        <w:rPr>
          <w:rStyle w:val="ICBAbold"/>
          <w:b w:val="0"/>
          <w:bCs/>
        </w:rPr>
        <w:t xml:space="preserve">ast two years. According to the FDIC, </w:t>
      </w:r>
      <w:r w:rsidR="00FE57BC">
        <w:rPr>
          <w:rStyle w:val="ICBAbold"/>
          <w:b w:val="0"/>
          <w:bCs/>
        </w:rPr>
        <w:t xml:space="preserve">total investments owned by community banks are down </w:t>
      </w:r>
      <w:r w:rsidR="001B4B52">
        <w:rPr>
          <w:rStyle w:val="ICBAbold"/>
          <w:b w:val="0"/>
          <w:bCs/>
        </w:rPr>
        <w:t xml:space="preserve">15% since 2022, even as total assets have </w:t>
      </w:r>
      <w:r w:rsidR="008D3273">
        <w:rPr>
          <w:rStyle w:val="ICBAbold"/>
          <w:b w:val="0"/>
          <w:bCs/>
        </w:rPr>
        <w:t xml:space="preserve">pretty much run in place. </w:t>
      </w:r>
    </w:p>
    <w:p w14:paraId="4309862D" w14:textId="77777777" w:rsidR="00A775AC" w:rsidRDefault="00A775AC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</w:p>
    <w:p w14:paraId="6996C823" w14:textId="5DBAECDF" w:rsidR="00A50F83" w:rsidRDefault="007F2688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  <w:r>
        <w:rPr>
          <w:rStyle w:val="ICBAbold"/>
          <w:b w:val="0"/>
          <w:bCs/>
        </w:rPr>
        <w:t xml:space="preserve">Another </w:t>
      </w:r>
      <w:r w:rsidR="00FD1D18">
        <w:rPr>
          <w:rStyle w:val="ICBAbold"/>
          <w:b w:val="0"/>
          <w:bCs/>
        </w:rPr>
        <w:t>reason</w:t>
      </w:r>
      <w:r w:rsidR="005572A4">
        <w:rPr>
          <w:rStyle w:val="ICBAbold"/>
          <w:b w:val="0"/>
          <w:bCs/>
        </w:rPr>
        <w:t>—</w:t>
      </w:r>
      <w:r w:rsidR="008D3273">
        <w:rPr>
          <w:rStyle w:val="ICBAbold"/>
          <w:b w:val="0"/>
          <w:bCs/>
        </w:rPr>
        <w:t>more tangibly</w:t>
      </w:r>
      <w:r w:rsidR="005572A4">
        <w:rPr>
          <w:rStyle w:val="ICBAbold"/>
          <w:b w:val="0"/>
          <w:bCs/>
        </w:rPr>
        <w:t>—</w:t>
      </w:r>
      <w:r w:rsidR="00D81E29">
        <w:rPr>
          <w:rStyle w:val="ICBAbold"/>
          <w:b w:val="0"/>
          <w:bCs/>
        </w:rPr>
        <w:t xml:space="preserve">is that </w:t>
      </w:r>
      <w:r w:rsidR="006E72E8">
        <w:rPr>
          <w:rStyle w:val="ICBAbold"/>
          <w:b w:val="0"/>
          <w:bCs/>
        </w:rPr>
        <w:t>costs of funds have skyrocketed</w:t>
      </w:r>
      <w:r w:rsidR="00FD1D18">
        <w:rPr>
          <w:rStyle w:val="ICBAbold"/>
          <w:b w:val="0"/>
          <w:bCs/>
        </w:rPr>
        <w:t xml:space="preserve">, so the spread between </w:t>
      </w:r>
      <w:r w:rsidR="00351328">
        <w:rPr>
          <w:rStyle w:val="ICBAbold"/>
          <w:b w:val="0"/>
          <w:bCs/>
        </w:rPr>
        <w:t>income and expense has dwindled</w:t>
      </w:r>
      <w:r w:rsidR="006E72E8">
        <w:rPr>
          <w:rStyle w:val="ICBAbold"/>
          <w:b w:val="0"/>
          <w:bCs/>
        </w:rPr>
        <w:t>. Still, there</w:t>
      </w:r>
      <w:r w:rsidR="005572A4">
        <w:rPr>
          <w:rStyle w:val="ICBAbold"/>
          <w:b w:val="0"/>
          <w:bCs/>
        </w:rPr>
        <w:t xml:space="preserve"> are lots of opportunities and </w:t>
      </w:r>
      <w:r w:rsidR="006E72E8">
        <w:rPr>
          <w:rStyle w:val="ICBAbold"/>
          <w:b w:val="0"/>
          <w:bCs/>
        </w:rPr>
        <w:t xml:space="preserve">plenty </w:t>
      </w:r>
      <w:r w:rsidR="000C6EB9">
        <w:rPr>
          <w:rStyle w:val="ICBAbold"/>
          <w:b w:val="0"/>
          <w:bCs/>
        </w:rPr>
        <w:t>cause for hope</w:t>
      </w:r>
      <w:r w:rsidR="005572A4">
        <w:rPr>
          <w:rStyle w:val="ICBAbold"/>
          <w:b w:val="0"/>
          <w:bCs/>
        </w:rPr>
        <w:t xml:space="preserve"> </w:t>
      </w:r>
      <w:r w:rsidR="000C6EB9">
        <w:rPr>
          <w:rStyle w:val="ICBAbold"/>
          <w:b w:val="0"/>
          <w:bCs/>
        </w:rPr>
        <w:t>as we enter the third quarter of 2024.</w:t>
      </w:r>
    </w:p>
    <w:p w14:paraId="74E020BA" w14:textId="77777777" w:rsidR="007642A7" w:rsidRDefault="007642A7" w:rsidP="0046179D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</w:p>
    <w:p w14:paraId="3ADEAFF7" w14:textId="1B61F315" w:rsidR="002E29B9" w:rsidRPr="005E71B0" w:rsidRDefault="002E29B9" w:rsidP="0046179D">
      <w:pPr>
        <w:tabs>
          <w:tab w:val="left" w:pos="2550"/>
        </w:tabs>
        <w:spacing w:line="360" w:lineRule="auto"/>
        <w:rPr>
          <w:b/>
        </w:rPr>
      </w:pPr>
      <w:r w:rsidRPr="005E71B0">
        <w:rPr>
          <w:b/>
        </w:rPr>
        <w:t>[</w:t>
      </w:r>
      <w:proofErr w:type="spellStart"/>
      <w:r w:rsidRPr="005E71B0">
        <w:rPr>
          <w:b/>
        </w:rPr>
        <w:t>subhed</w:t>
      </w:r>
      <w:proofErr w:type="spellEnd"/>
      <w:r w:rsidRPr="005E71B0">
        <w:rPr>
          <w:b/>
        </w:rPr>
        <w:t xml:space="preserve">] </w:t>
      </w:r>
      <w:r w:rsidR="00AA560E">
        <w:rPr>
          <w:b/>
        </w:rPr>
        <w:t>Rarely, if ever</w:t>
      </w:r>
    </w:p>
    <w:p w14:paraId="288CA3BA" w14:textId="7A977887" w:rsidR="002E29B9" w:rsidRDefault="005572A4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 xml:space="preserve">The Figure </w:t>
      </w:r>
      <w:r w:rsidR="00996CF1">
        <w:rPr>
          <w:bCs/>
        </w:rPr>
        <w:t>1</w:t>
      </w:r>
      <w:r>
        <w:rPr>
          <w:bCs/>
        </w:rPr>
        <w:t xml:space="preserve"> graph</w:t>
      </w:r>
      <w:r w:rsidR="004143FE">
        <w:rPr>
          <w:bCs/>
        </w:rPr>
        <w:t xml:space="preserve"> </w:t>
      </w:r>
      <w:r>
        <w:rPr>
          <w:bCs/>
        </w:rPr>
        <w:t xml:space="preserve">(location TK) </w:t>
      </w:r>
      <w:r w:rsidR="004143FE">
        <w:rPr>
          <w:bCs/>
        </w:rPr>
        <w:t xml:space="preserve">shows just how far </w:t>
      </w:r>
      <w:r w:rsidR="00DF3772">
        <w:rPr>
          <w:bCs/>
        </w:rPr>
        <w:t xml:space="preserve">the bond market has run in front of </w:t>
      </w:r>
      <w:r w:rsidR="00080F33">
        <w:rPr>
          <w:bCs/>
        </w:rPr>
        <w:t>bank securities portfolios.</w:t>
      </w:r>
      <w:r w:rsidR="00F6010F">
        <w:rPr>
          <w:bCs/>
        </w:rPr>
        <w:t xml:space="preserve"> </w:t>
      </w:r>
      <w:r w:rsidR="0077646D">
        <w:rPr>
          <w:bCs/>
        </w:rPr>
        <w:t xml:space="preserve">The </w:t>
      </w:r>
      <w:r w:rsidR="00340C78">
        <w:rPr>
          <w:bCs/>
        </w:rPr>
        <w:t xml:space="preserve">data series </w:t>
      </w:r>
      <w:r w:rsidR="000F04ED">
        <w:rPr>
          <w:bCs/>
        </w:rPr>
        <w:t>for portfolio yields come from the</w:t>
      </w:r>
      <w:r>
        <w:rPr>
          <w:bCs/>
        </w:rPr>
        <w:t xml:space="preserve"> more than</w:t>
      </w:r>
      <w:r w:rsidR="000F04ED">
        <w:rPr>
          <w:bCs/>
        </w:rPr>
        <w:t xml:space="preserve"> 400 community banks </w:t>
      </w:r>
      <w:r w:rsidR="00A56162">
        <w:rPr>
          <w:bCs/>
        </w:rPr>
        <w:t>who use Stifel</w:t>
      </w:r>
      <w:r>
        <w:rPr>
          <w:bCs/>
        </w:rPr>
        <w:t>, ICBA’s exclusively endorsed broker,</w:t>
      </w:r>
      <w:r w:rsidR="00A56162">
        <w:rPr>
          <w:bCs/>
        </w:rPr>
        <w:t xml:space="preserve"> for their bond accounting</w:t>
      </w:r>
      <w:r w:rsidR="002D2294">
        <w:rPr>
          <w:bCs/>
        </w:rPr>
        <w:t>. When</w:t>
      </w:r>
      <w:r w:rsidR="00CB1BDE">
        <w:rPr>
          <w:bCs/>
        </w:rPr>
        <w:t xml:space="preserve"> compared </w:t>
      </w:r>
      <w:r w:rsidR="00A775AC">
        <w:rPr>
          <w:bCs/>
        </w:rPr>
        <w:t>with</w:t>
      </w:r>
      <w:r w:rsidR="00CB1BDE">
        <w:rPr>
          <w:bCs/>
        </w:rPr>
        <w:t xml:space="preserve"> the historical yields for the three-year treasury note</w:t>
      </w:r>
      <w:r w:rsidR="009D51ED">
        <w:rPr>
          <w:bCs/>
        </w:rPr>
        <w:t>, we again are in new territory</w:t>
      </w:r>
      <w:r w:rsidR="00CB1BDE">
        <w:rPr>
          <w:bCs/>
        </w:rPr>
        <w:t>. H</w:t>
      </w:r>
      <w:r w:rsidR="00F6010F">
        <w:rPr>
          <w:bCs/>
        </w:rPr>
        <w:t xml:space="preserve">istorically, </w:t>
      </w:r>
      <w:r w:rsidR="0077646D">
        <w:rPr>
          <w:bCs/>
        </w:rPr>
        <w:t>a bank’s own bonds yield more that similar</w:t>
      </w:r>
      <w:r w:rsidR="00A775AC">
        <w:rPr>
          <w:bCs/>
        </w:rPr>
        <w:t>-</w:t>
      </w:r>
      <w:r w:rsidR="0077646D">
        <w:rPr>
          <w:bCs/>
        </w:rPr>
        <w:t xml:space="preserve">maturity </w:t>
      </w:r>
      <w:r w:rsidR="00D45B5A">
        <w:rPr>
          <w:bCs/>
        </w:rPr>
        <w:t>t</w:t>
      </w:r>
      <w:r w:rsidR="0077646D">
        <w:rPr>
          <w:bCs/>
        </w:rPr>
        <w:t>reasuries</w:t>
      </w:r>
      <w:r w:rsidR="00D45B5A">
        <w:rPr>
          <w:bCs/>
        </w:rPr>
        <w:t xml:space="preserve">, </w:t>
      </w:r>
      <w:r w:rsidR="00D45B5A">
        <w:rPr>
          <w:bCs/>
        </w:rPr>
        <w:lastRenderedPageBreak/>
        <w:t>which make</w:t>
      </w:r>
      <w:r w:rsidR="009D51ED">
        <w:rPr>
          <w:bCs/>
        </w:rPr>
        <w:t>s</w:t>
      </w:r>
      <w:r w:rsidR="00D45B5A">
        <w:rPr>
          <w:bCs/>
        </w:rPr>
        <w:t xml:space="preserve"> perfect sense. </w:t>
      </w:r>
      <w:r w:rsidR="00CE45C6">
        <w:rPr>
          <w:bCs/>
        </w:rPr>
        <w:t xml:space="preserve">Most bond portfolios consist of securities </w:t>
      </w:r>
      <w:r w:rsidR="009B4E8F">
        <w:rPr>
          <w:bCs/>
        </w:rPr>
        <w:t xml:space="preserve">that have </w:t>
      </w:r>
      <w:r w:rsidR="00A7791C">
        <w:rPr>
          <w:bCs/>
        </w:rPr>
        <w:t>yield spread over and above</w:t>
      </w:r>
      <w:r w:rsidR="00CE45C6">
        <w:rPr>
          <w:bCs/>
        </w:rPr>
        <w:t xml:space="preserve"> treasuries, such as mortgage-backed securit</w:t>
      </w:r>
      <w:r w:rsidR="00A060D3">
        <w:rPr>
          <w:bCs/>
        </w:rPr>
        <w:t xml:space="preserve">ies (MBS) and tax-free municipals. </w:t>
      </w:r>
    </w:p>
    <w:p w14:paraId="0817B19D" w14:textId="77777777" w:rsidR="00A775AC" w:rsidRDefault="00A775AC" w:rsidP="0046179D">
      <w:pPr>
        <w:tabs>
          <w:tab w:val="left" w:pos="2550"/>
        </w:tabs>
        <w:spacing w:line="360" w:lineRule="auto"/>
        <w:rPr>
          <w:bCs/>
        </w:rPr>
      </w:pPr>
    </w:p>
    <w:p w14:paraId="50203A31" w14:textId="6A2D5B3B" w:rsidR="00DC757D" w:rsidRDefault="00DC757D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>Since 2022, however</w:t>
      </w:r>
      <w:r w:rsidR="00B17643">
        <w:rPr>
          <w:bCs/>
        </w:rPr>
        <w:t xml:space="preserve">, quite the opposite has been the case. Not only </w:t>
      </w:r>
      <w:r w:rsidR="003D2178">
        <w:rPr>
          <w:bCs/>
        </w:rPr>
        <w:t>are treasuries available at higher returns tha</w:t>
      </w:r>
      <w:r w:rsidR="00F93B1B">
        <w:rPr>
          <w:bCs/>
        </w:rPr>
        <w:t>n</w:t>
      </w:r>
      <w:r w:rsidR="003D2178">
        <w:rPr>
          <w:bCs/>
        </w:rPr>
        <w:t xml:space="preserve"> </w:t>
      </w:r>
      <w:r w:rsidR="008E6C9A">
        <w:rPr>
          <w:bCs/>
        </w:rPr>
        <w:t>seasoned</w:t>
      </w:r>
      <w:r w:rsidR="003D2178">
        <w:rPr>
          <w:bCs/>
        </w:rPr>
        <w:t xml:space="preserve"> “spread” product</w:t>
      </w:r>
      <w:r w:rsidR="00A775AC">
        <w:rPr>
          <w:bCs/>
        </w:rPr>
        <w:t xml:space="preserve">; </w:t>
      </w:r>
      <w:r w:rsidR="0079756B">
        <w:rPr>
          <w:bCs/>
        </w:rPr>
        <w:t>the difference is also</w:t>
      </w:r>
      <w:r w:rsidR="00992F04">
        <w:rPr>
          <w:bCs/>
        </w:rPr>
        <w:t xml:space="preserve"> </w:t>
      </w:r>
      <w:r w:rsidR="009A7D2C">
        <w:rPr>
          <w:bCs/>
        </w:rPr>
        <w:t xml:space="preserve">quite noticeable. While all of this may be painfully obvious to </w:t>
      </w:r>
      <w:proofErr w:type="gramStart"/>
      <w:r w:rsidR="009A7D2C">
        <w:rPr>
          <w:bCs/>
        </w:rPr>
        <w:t>yo</w:t>
      </w:r>
      <w:r w:rsidR="0022109E">
        <w:rPr>
          <w:bCs/>
        </w:rPr>
        <w:t>u</w:t>
      </w:r>
      <w:proofErr w:type="gramEnd"/>
      <w:r w:rsidR="0022109E">
        <w:rPr>
          <w:bCs/>
        </w:rPr>
        <w:t xml:space="preserve"> portfolio managers out there, </w:t>
      </w:r>
      <w:r w:rsidR="001C2A30">
        <w:rPr>
          <w:bCs/>
        </w:rPr>
        <w:t xml:space="preserve">this does drive home the point that </w:t>
      </w:r>
      <w:r w:rsidR="00FE6A45">
        <w:rPr>
          <w:bCs/>
        </w:rPr>
        <w:t xml:space="preserve">current </w:t>
      </w:r>
      <w:r w:rsidR="009D6201">
        <w:rPr>
          <w:bCs/>
        </w:rPr>
        <w:t>market yields are historically very attractive.</w:t>
      </w:r>
    </w:p>
    <w:p w14:paraId="4FB6F247" w14:textId="77777777" w:rsidR="009D6201" w:rsidRDefault="009D6201" w:rsidP="0046179D">
      <w:pPr>
        <w:tabs>
          <w:tab w:val="left" w:pos="2550"/>
        </w:tabs>
        <w:spacing w:line="360" w:lineRule="auto"/>
        <w:rPr>
          <w:bCs/>
        </w:rPr>
      </w:pPr>
    </w:p>
    <w:p w14:paraId="3671D37D" w14:textId="53580BAC" w:rsidR="002E29B9" w:rsidRPr="005E71B0" w:rsidRDefault="002E29B9" w:rsidP="0046179D">
      <w:pPr>
        <w:tabs>
          <w:tab w:val="left" w:pos="2550"/>
        </w:tabs>
        <w:spacing w:line="360" w:lineRule="auto"/>
        <w:rPr>
          <w:b/>
        </w:rPr>
      </w:pPr>
      <w:r w:rsidRPr="005E71B0">
        <w:rPr>
          <w:b/>
        </w:rPr>
        <w:t>[</w:t>
      </w:r>
      <w:proofErr w:type="spellStart"/>
      <w:r w:rsidRPr="005E71B0">
        <w:rPr>
          <w:b/>
        </w:rPr>
        <w:t>subhed</w:t>
      </w:r>
      <w:proofErr w:type="spellEnd"/>
      <w:r w:rsidRPr="005E71B0">
        <w:rPr>
          <w:b/>
        </w:rPr>
        <w:t xml:space="preserve">] </w:t>
      </w:r>
      <w:r w:rsidR="00DA3702">
        <w:rPr>
          <w:b/>
        </w:rPr>
        <w:t>Take MBS</w:t>
      </w:r>
    </w:p>
    <w:p w14:paraId="3C237C1E" w14:textId="6195C440" w:rsidR="00A775AC" w:rsidRDefault="00E33C4C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>A similar</w:t>
      </w:r>
      <w:r w:rsidR="00B0202B">
        <w:rPr>
          <w:bCs/>
        </w:rPr>
        <w:t xml:space="preserve"> cause-and-effect is taking place in the housing finance market. </w:t>
      </w:r>
      <w:r w:rsidR="00622C64">
        <w:rPr>
          <w:bCs/>
        </w:rPr>
        <w:t xml:space="preserve">The rapid rise in </w:t>
      </w:r>
      <w:r w:rsidR="008D4343">
        <w:rPr>
          <w:bCs/>
        </w:rPr>
        <w:t>cost</w:t>
      </w:r>
      <w:r w:rsidR="0096582F">
        <w:rPr>
          <w:bCs/>
        </w:rPr>
        <w:t>s</w:t>
      </w:r>
      <w:r w:rsidR="00BC0DC2">
        <w:rPr>
          <w:bCs/>
        </w:rPr>
        <w:t xml:space="preserve"> </w:t>
      </w:r>
      <w:r w:rsidR="006D2ECC">
        <w:rPr>
          <w:bCs/>
        </w:rPr>
        <w:t xml:space="preserve">for </w:t>
      </w:r>
      <w:proofErr w:type="gramStart"/>
      <w:r w:rsidR="006D2ECC">
        <w:rPr>
          <w:bCs/>
        </w:rPr>
        <w:t>any and all</w:t>
      </w:r>
      <w:proofErr w:type="gramEnd"/>
      <w:r w:rsidR="006D2ECC">
        <w:rPr>
          <w:bCs/>
        </w:rPr>
        <w:t xml:space="preserve"> mortgage products in 2022 and beyond </w:t>
      </w:r>
      <w:r w:rsidR="00EC064D">
        <w:rPr>
          <w:bCs/>
        </w:rPr>
        <w:t>ha</w:t>
      </w:r>
      <w:r w:rsidR="007E17BF">
        <w:rPr>
          <w:bCs/>
        </w:rPr>
        <w:t>s</w:t>
      </w:r>
      <w:r w:rsidR="00EC064D">
        <w:rPr>
          <w:bCs/>
        </w:rPr>
        <w:t xml:space="preserve"> had profound </w:t>
      </w:r>
      <w:r w:rsidR="00A775AC">
        <w:rPr>
          <w:bCs/>
        </w:rPr>
        <w:t xml:space="preserve">effects </w:t>
      </w:r>
      <w:r w:rsidR="00EC064D">
        <w:rPr>
          <w:bCs/>
        </w:rPr>
        <w:t xml:space="preserve">on community banking at several levels. </w:t>
      </w:r>
    </w:p>
    <w:p w14:paraId="03456902" w14:textId="77777777" w:rsidR="00A775AC" w:rsidRDefault="00A775AC" w:rsidP="0046179D">
      <w:pPr>
        <w:tabs>
          <w:tab w:val="left" w:pos="2550"/>
        </w:tabs>
        <w:spacing w:line="360" w:lineRule="auto"/>
        <w:rPr>
          <w:bCs/>
        </w:rPr>
      </w:pPr>
    </w:p>
    <w:p w14:paraId="03B30763" w14:textId="581E488D" w:rsidR="002E29B9" w:rsidRDefault="00EC064D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 xml:space="preserve">For institutions </w:t>
      </w:r>
      <w:r w:rsidR="00A775AC">
        <w:rPr>
          <w:bCs/>
        </w:rPr>
        <w:t xml:space="preserve">that </w:t>
      </w:r>
      <w:r>
        <w:rPr>
          <w:bCs/>
        </w:rPr>
        <w:t xml:space="preserve">have full mortgage lending operations, </w:t>
      </w:r>
      <w:r w:rsidR="00BC0DC2">
        <w:rPr>
          <w:bCs/>
        </w:rPr>
        <w:t xml:space="preserve">loan </w:t>
      </w:r>
      <w:r w:rsidR="00292669">
        <w:rPr>
          <w:bCs/>
        </w:rPr>
        <w:t xml:space="preserve">volumes for both new purchases and </w:t>
      </w:r>
      <w:r w:rsidR="00987808">
        <w:rPr>
          <w:bCs/>
        </w:rPr>
        <w:t xml:space="preserve">refinances have been barely a trickle of </w:t>
      </w:r>
      <w:r w:rsidR="0060658E">
        <w:rPr>
          <w:bCs/>
        </w:rPr>
        <w:t>that experienced in 2020</w:t>
      </w:r>
      <w:r w:rsidR="005572A4">
        <w:rPr>
          <w:bCs/>
        </w:rPr>
        <w:t>–</w:t>
      </w:r>
      <w:r w:rsidR="0060658E">
        <w:rPr>
          <w:bCs/>
        </w:rPr>
        <w:t xml:space="preserve">21. </w:t>
      </w:r>
      <w:r w:rsidR="004A1A1C">
        <w:rPr>
          <w:bCs/>
        </w:rPr>
        <w:t xml:space="preserve">In turn, the dearth of </w:t>
      </w:r>
      <w:proofErr w:type="spellStart"/>
      <w:r w:rsidR="004A1A1C">
        <w:rPr>
          <w:bCs/>
        </w:rPr>
        <w:t>refis</w:t>
      </w:r>
      <w:proofErr w:type="spellEnd"/>
      <w:r w:rsidR="004A1A1C">
        <w:rPr>
          <w:bCs/>
        </w:rPr>
        <w:t xml:space="preserve"> and new closings ha</w:t>
      </w:r>
      <w:r w:rsidR="001C680D">
        <w:rPr>
          <w:bCs/>
        </w:rPr>
        <w:t>s</w:t>
      </w:r>
      <w:r w:rsidR="004A1A1C">
        <w:rPr>
          <w:bCs/>
        </w:rPr>
        <w:t xml:space="preserve"> </w:t>
      </w:r>
      <w:r w:rsidR="00953165">
        <w:rPr>
          <w:bCs/>
        </w:rPr>
        <w:t xml:space="preserve">caused seasoned loans, and </w:t>
      </w:r>
      <w:r w:rsidR="00F429D6">
        <w:rPr>
          <w:bCs/>
        </w:rPr>
        <w:t xml:space="preserve">seasoned </w:t>
      </w:r>
      <w:r w:rsidR="00953165">
        <w:rPr>
          <w:bCs/>
        </w:rPr>
        <w:t>MBS pools, to throw of</w:t>
      </w:r>
      <w:r w:rsidR="00F429D6">
        <w:rPr>
          <w:bCs/>
        </w:rPr>
        <w:t xml:space="preserve">f next to no cash flow in the </w:t>
      </w:r>
      <w:r w:rsidR="00A775AC">
        <w:rPr>
          <w:bCs/>
        </w:rPr>
        <w:t>p</w:t>
      </w:r>
      <w:r w:rsidR="00F429D6">
        <w:rPr>
          <w:bCs/>
        </w:rPr>
        <w:t>ast two years.</w:t>
      </w:r>
      <w:r w:rsidR="000E62CF">
        <w:rPr>
          <w:bCs/>
        </w:rPr>
        <w:t xml:space="preserve"> </w:t>
      </w:r>
      <w:r w:rsidR="001C680D">
        <w:rPr>
          <w:bCs/>
        </w:rPr>
        <w:t>T</w:t>
      </w:r>
      <w:r w:rsidR="00803F9E">
        <w:rPr>
          <w:bCs/>
        </w:rPr>
        <w:t>he entire 30-year mortgage market</w:t>
      </w:r>
      <w:r w:rsidR="00327C8B">
        <w:rPr>
          <w:bCs/>
        </w:rPr>
        <w:t xml:space="preserve">, which </w:t>
      </w:r>
      <w:r w:rsidR="001C680D">
        <w:rPr>
          <w:bCs/>
        </w:rPr>
        <w:t>accounts for</w:t>
      </w:r>
      <w:r w:rsidR="00327C8B">
        <w:rPr>
          <w:bCs/>
        </w:rPr>
        <w:t xml:space="preserve"> 85% of all loans </w:t>
      </w:r>
      <w:r w:rsidR="00045D12">
        <w:rPr>
          <w:bCs/>
        </w:rPr>
        <w:t>on</w:t>
      </w:r>
      <w:r w:rsidR="00327C8B">
        <w:rPr>
          <w:bCs/>
        </w:rPr>
        <w:t xml:space="preserve"> single family residences,</w:t>
      </w:r>
      <w:r w:rsidR="00067E2A">
        <w:rPr>
          <w:bCs/>
        </w:rPr>
        <w:t xml:space="preserve"> has averaged </w:t>
      </w:r>
      <w:r w:rsidR="000A60BB">
        <w:rPr>
          <w:bCs/>
        </w:rPr>
        <w:t xml:space="preserve">annual </w:t>
      </w:r>
      <w:r w:rsidR="00067E2A">
        <w:rPr>
          <w:bCs/>
        </w:rPr>
        <w:t xml:space="preserve">prepayments of </w:t>
      </w:r>
      <w:r w:rsidR="00EA073F">
        <w:rPr>
          <w:bCs/>
        </w:rPr>
        <w:t xml:space="preserve">barely 5% </w:t>
      </w:r>
      <w:r w:rsidR="000B105E">
        <w:rPr>
          <w:bCs/>
        </w:rPr>
        <w:t xml:space="preserve">for </w:t>
      </w:r>
      <w:r w:rsidR="007A0C97">
        <w:rPr>
          <w:bCs/>
        </w:rPr>
        <w:t>more than</w:t>
      </w:r>
      <w:r w:rsidR="000B105E">
        <w:rPr>
          <w:bCs/>
        </w:rPr>
        <w:t xml:space="preserve"> a year. </w:t>
      </w:r>
      <w:r w:rsidR="00327C8B">
        <w:rPr>
          <w:bCs/>
        </w:rPr>
        <w:t xml:space="preserve"> </w:t>
      </w:r>
    </w:p>
    <w:p w14:paraId="499D1798" w14:textId="1F612039" w:rsidR="00F429D6" w:rsidRDefault="00F429D6" w:rsidP="0046179D">
      <w:pPr>
        <w:tabs>
          <w:tab w:val="left" w:pos="2550"/>
        </w:tabs>
        <w:spacing w:line="360" w:lineRule="auto"/>
        <w:rPr>
          <w:bCs/>
        </w:rPr>
      </w:pPr>
    </w:p>
    <w:p w14:paraId="51B6392D" w14:textId="1CD224A3" w:rsidR="00F4308B" w:rsidRDefault="00F4308B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>This</w:t>
      </w:r>
      <w:r w:rsidR="00D909B0">
        <w:rPr>
          <w:bCs/>
        </w:rPr>
        <w:t xml:space="preserve"> also</w:t>
      </w:r>
      <w:r>
        <w:rPr>
          <w:bCs/>
        </w:rPr>
        <w:t xml:space="preserve"> is nothing new</w:t>
      </w:r>
      <w:r w:rsidR="00D909B0">
        <w:rPr>
          <w:bCs/>
        </w:rPr>
        <w:t xml:space="preserve">. What makes the story a little bit different this cycle is just how far out-of-the-money </w:t>
      </w:r>
      <w:r w:rsidR="00902A6E">
        <w:rPr>
          <w:bCs/>
        </w:rPr>
        <w:t>most current mortgage loans are from being “</w:t>
      </w:r>
      <w:r w:rsidR="00692F17">
        <w:rPr>
          <w:bCs/>
        </w:rPr>
        <w:t>re</w:t>
      </w:r>
      <w:r w:rsidR="00902A6E">
        <w:rPr>
          <w:bCs/>
        </w:rPr>
        <w:t xml:space="preserve">financeable.” </w:t>
      </w:r>
      <w:proofErr w:type="gramStart"/>
      <w:r w:rsidR="007A6F68">
        <w:rPr>
          <w:bCs/>
        </w:rPr>
        <w:t>At the moment</w:t>
      </w:r>
      <w:proofErr w:type="gramEnd"/>
      <w:r w:rsidR="00ED323A">
        <w:rPr>
          <w:bCs/>
        </w:rPr>
        <w:t xml:space="preserve">, the </w:t>
      </w:r>
      <w:r w:rsidR="00DF73EF">
        <w:rPr>
          <w:bCs/>
        </w:rPr>
        <w:t xml:space="preserve">gap between 30-year loan rates and </w:t>
      </w:r>
      <w:r w:rsidR="0092099A">
        <w:rPr>
          <w:bCs/>
        </w:rPr>
        <w:t xml:space="preserve">the average outstanding borrowers’ rates is well over </w:t>
      </w:r>
      <w:r w:rsidR="008D7AAC">
        <w:rPr>
          <w:bCs/>
        </w:rPr>
        <w:t>300 basis points (3%)</w:t>
      </w:r>
      <w:r w:rsidR="00974D9F">
        <w:rPr>
          <w:bCs/>
        </w:rPr>
        <w:t>, which is really more of a yawning gulf</w:t>
      </w:r>
      <w:r w:rsidR="00A30905">
        <w:rPr>
          <w:bCs/>
        </w:rPr>
        <w:t xml:space="preserve">, </w:t>
      </w:r>
      <w:r w:rsidR="000034BC">
        <w:rPr>
          <w:bCs/>
        </w:rPr>
        <w:t xml:space="preserve">and </w:t>
      </w:r>
      <w:r w:rsidR="00A775AC">
        <w:rPr>
          <w:bCs/>
        </w:rPr>
        <w:t xml:space="preserve">on that </w:t>
      </w:r>
      <w:r w:rsidR="00A30905">
        <w:rPr>
          <w:bCs/>
        </w:rPr>
        <w:t>may be around for quite some time. A couple of Fed</w:t>
      </w:r>
      <w:r w:rsidR="00160DE4">
        <w:rPr>
          <w:bCs/>
        </w:rPr>
        <w:t xml:space="preserve">eral Reserve </w:t>
      </w:r>
      <w:proofErr w:type="spellStart"/>
      <w:r w:rsidR="00A30905">
        <w:rPr>
          <w:bCs/>
        </w:rPr>
        <w:t>easings</w:t>
      </w:r>
      <w:proofErr w:type="spellEnd"/>
      <w:r w:rsidR="00F0466E">
        <w:rPr>
          <w:bCs/>
        </w:rPr>
        <w:t xml:space="preserve">, when and if they come, will narrow that gap, but with </w:t>
      </w:r>
      <w:r w:rsidR="000D77D9">
        <w:rPr>
          <w:bCs/>
        </w:rPr>
        <w:t xml:space="preserve">all that ground </w:t>
      </w:r>
      <w:r w:rsidR="00F0466E">
        <w:rPr>
          <w:bCs/>
        </w:rPr>
        <w:t>to cover</w:t>
      </w:r>
      <w:r w:rsidR="00E2562E">
        <w:rPr>
          <w:bCs/>
        </w:rPr>
        <w:t>, it looks like</w:t>
      </w:r>
      <w:r w:rsidR="00160DE4">
        <w:rPr>
          <w:bCs/>
        </w:rPr>
        <w:t xml:space="preserve"> we’re in for a</w:t>
      </w:r>
      <w:r w:rsidR="00597A44">
        <w:rPr>
          <w:bCs/>
        </w:rPr>
        <w:t xml:space="preserve"> long road</w:t>
      </w:r>
      <w:r w:rsidR="007A0C97">
        <w:rPr>
          <w:bCs/>
        </w:rPr>
        <w:t xml:space="preserve"> </w:t>
      </w:r>
      <w:r w:rsidR="00597A44">
        <w:rPr>
          <w:bCs/>
        </w:rPr>
        <w:t xml:space="preserve">trip. </w:t>
      </w:r>
    </w:p>
    <w:p w14:paraId="209FF3CD" w14:textId="77777777" w:rsidR="007F3D5F" w:rsidRPr="005E71B0" w:rsidRDefault="007F3D5F" w:rsidP="0046179D">
      <w:pPr>
        <w:tabs>
          <w:tab w:val="left" w:pos="2550"/>
        </w:tabs>
        <w:spacing w:line="360" w:lineRule="auto"/>
        <w:rPr>
          <w:bCs/>
        </w:rPr>
      </w:pPr>
    </w:p>
    <w:p w14:paraId="062F16FE" w14:textId="08B31065" w:rsidR="002E29B9" w:rsidRDefault="002E29B9" w:rsidP="0046179D">
      <w:pPr>
        <w:tabs>
          <w:tab w:val="left" w:pos="2550"/>
        </w:tabs>
        <w:spacing w:line="360" w:lineRule="auto"/>
        <w:rPr>
          <w:b/>
        </w:rPr>
      </w:pPr>
      <w:r w:rsidRPr="005E71B0">
        <w:rPr>
          <w:b/>
        </w:rPr>
        <w:t>[</w:t>
      </w:r>
      <w:proofErr w:type="spellStart"/>
      <w:r w:rsidRPr="005E71B0">
        <w:rPr>
          <w:b/>
        </w:rPr>
        <w:t>subhed</w:t>
      </w:r>
      <w:proofErr w:type="spellEnd"/>
      <w:r w:rsidRPr="005E71B0">
        <w:rPr>
          <w:b/>
        </w:rPr>
        <w:t xml:space="preserve">] </w:t>
      </w:r>
      <w:r w:rsidR="00BF6018">
        <w:rPr>
          <w:b/>
        </w:rPr>
        <w:t>Getting better</w:t>
      </w:r>
      <w:r w:rsidR="00037045">
        <w:rPr>
          <w:b/>
        </w:rPr>
        <w:t xml:space="preserve"> all the time</w:t>
      </w:r>
    </w:p>
    <w:p w14:paraId="4AAC2909" w14:textId="7771583F" w:rsidR="00A775AC" w:rsidRDefault="004D6C0A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>So</w:t>
      </w:r>
      <w:r w:rsidR="005572A4">
        <w:rPr>
          <w:bCs/>
        </w:rPr>
        <w:t>,</w:t>
      </w:r>
      <w:r>
        <w:rPr>
          <w:bCs/>
        </w:rPr>
        <w:t xml:space="preserve"> believe it or not, </w:t>
      </w:r>
      <w:r w:rsidR="007D7B28">
        <w:rPr>
          <w:bCs/>
        </w:rPr>
        <w:t xml:space="preserve">portfolio yields have recovered </w:t>
      </w:r>
      <w:proofErr w:type="gramStart"/>
      <w:r w:rsidR="007D7B28">
        <w:rPr>
          <w:bCs/>
        </w:rPr>
        <w:t>pretty well</w:t>
      </w:r>
      <w:proofErr w:type="gramEnd"/>
      <w:r w:rsidR="007D7B28">
        <w:rPr>
          <w:bCs/>
        </w:rPr>
        <w:t xml:space="preserve">. As of March 31, the average tax-equivalent yield </w:t>
      </w:r>
      <w:r w:rsidR="0048053B">
        <w:rPr>
          <w:bCs/>
        </w:rPr>
        <w:t xml:space="preserve">was up to 2.83% after bottoming out in September 2021 at 1.77%. </w:t>
      </w:r>
      <w:r w:rsidR="007D194C">
        <w:rPr>
          <w:bCs/>
        </w:rPr>
        <w:t xml:space="preserve">Every </w:t>
      </w:r>
      <w:r w:rsidR="007D194C">
        <w:rPr>
          <w:bCs/>
        </w:rPr>
        <w:lastRenderedPageBreak/>
        <w:t>month</w:t>
      </w:r>
      <w:r w:rsidR="00A775AC">
        <w:rPr>
          <w:bCs/>
        </w:rPr>
        <w:t>,</w:t>
      </w:r>
      <w:r w:rsidR="007D194C">
        <w:rPr>
          <w:bCs/>
        </w:rPr>
        <w:t xml:space="preserve"> some bonds with 1%-something yields are rolling off and hopefully being replaced with </w:t>
      </w:r>
      <w:r w:rsidR="00EA1C13">
        <w:rPr>
          <w:bCs/>
        </w:rPr>
        <w:t xml:space="preserve">“five handles” (5%-plus yields). </w:t>
      </w:r>
    </w:p>
    <w:p w14:paraId="2A4D1A64" w14:textId="77777777" w:rsidR="00A775AC" w:rsidRDefault="00A775AC" w:rsidP="0046179D">
      <w:pPr>
        <w:tabs>
          <w:tab w:val="left" w:pos="2550"/>
        </w:tabs>
        <w:spacing w:line="360" w:lineRule="auto"/>
        <w:rPr>
          <w:bCs/>
        </w:rPr>
      </w:pPr>
    </w:p>
    <w:p w14:paraId="104CAF6A" w14:textId="3EF8604E" w:rsidR="00037045" w:rsidRPr="00037045" w:rsidRDefault="00B7627D" w:rsidP="0046179D">
      <w:pPr>
        <w:tabs>
          <w:tab w:val="left" w:pos="2550"/>
        </w:tabs>
        <w:spacing w:line="360" w:lineRule="auto"/>
        <w:rPr>
          <w:bCs/>
        </w:rPr>
      </w:pPr>
      <w:r>
        <w:rPr>
          <w:bCs/>
        </w:rPr>
        <w:t>A</w:t>
      </w:r>
      <w:r w:rsidR="005572A4">
        <w:rPr>
          <w:bCs/>
        </w:rPr>
        <w:t>s a</w:t>
      </w:r>
      <w:r>
        <w:rPr>
          <w:bCs/>
        </w:rPr>
        <w:t xml:space="preserve"> final </w:t>
      </w:r>
      <w:r w:rsidR="00992CDE">
        <w:rPr>
          <w:bCs/>
        </w:rPr>
        <w:t>reminder</w:t>
      </w:r>
      <w:r w:rsidR="005572A4">
        <w:rPr>
          <w:bCs/>
        </w:rPr>
        <w:t>,</w:t>
      </w:r>
      <w:r w:rsidR="00992CDE">
        <w:rPr>
          <w:bCs/>
        </w:rPr>
        <w:t xml:space="preserve"> </w:t>
      </w:r>
      <w:r w:rsidR="005572A4">
        <w:rPr>
          <w:bCs/>
        </w:rPr>
        <w:t>c</w:t>
      </w:r>
      <w:r w:rsidR="00305A41">
        <w:rPr>
          <w:bCs/>
        </w:rPr>
        <w:t xml:space="preserve">all protection, in the form of non-callable bonds or those with deep discount prices, will probably be your friend in 2025. </w:t>
      </w:r>
      <w:r w:rsidR="00375F8E">
        <w:rPr>
          <w:bCs/>
        </w:rPr>
        <w:t xml:space="preserve">That can </w:t>
      </w:r>
      <w:r w:rsidR="00D7215D">
        <w:rPr>
          <w:bCs/>
        </w:rPr>
        <w:t xml:space="preserve">help your portfolio not just </w:t>
      </w:r>
      <w:r w:rsidR="009064B9">
        <w:rPr>
          <w:bCs/>
        </w:rPr>
        <w:t xml:space="preserve">to </w:t>
      </w:r>
      <w:r w:rsidR="00D7215D">
        <w:rPr>
          <w:bCs/>
        </w:rPr>
        <w:t xml:space="preserve">catch up but </w:t>
      </w:r>
      <w:r w:rsidR="009064B9">
        <w:rPr>
          <w:bCs/>
        </w:rPr>
        <w:t xml:space="preserve">to </w:t>
      </w:r>
      <w:r w:rsidR="00162453">
        <w:rPr>
          <w:bCs/>
        </w:rPr>
        <w:t xml:space="preserve">get ahead. </w:t>
      </w:r>
    </w:p>
    <w:p w14:paraId="5D57C06F" w14:textId="6D5A1AB1" w:rsidR="002E29B9" w:rsidRPr="005E71B0" w:rsidRDefault="002E29B9" w:rsidP="002E29B9">
      <w:pPr>
        <w:tabs>
          <w:tab w:val="left" w:pos="2550"/>
        </w:tabs>
        <w:spacing w:after="240" w:line="276" w:lineRule="auto"/>
        <w:rPr>
          <w:bCs/>
        </w:rPr>
      </w:pPr>
    </w:p>
    <w:p w14:paraId="0A7E5C89" w14:textId="77777777" w:rsidR="002E29B9" w:rsidRPr="005E71B0" w:rsidRDefault="002E29B9" w:rsidP="002E29B9">
      <w:pPr>
        <w:tabs>
          <w:tab w:val="left" w:pos="2550"/>
        </w:tabs>
        <w:spacing w:after="240" w:line="276" w:lineRule="auto"/>
        <w:rPr>
          <w:b/>
          <w:bCs/>
          <w:iCs/>
        </w:rPr>
      </w:pPr>
      <w:r w:rsidRPr="005E71B0">
        <w:rPr>
          <w:rStyle w:val="ICBAbold"/>
          <w:iCs/>
        </w:rPr>
        <w:t>Jim Reber</w:t>
      </w:r>
      <w:r w:rsidRPr="005E71B0">
        <w:rPr>
          <w:iCs/>
        </w:rPr>
        <w:t xml:space="preserve"> </w:t>
      </w:r>
      <w:r w:rsidRPr="005E71B0">
        <w:rPr>
          <w:b/>
          <w:bCs/>
          <w:iCs/>
        </w:rPr>
        <w:t>(</w:t>
      </w:r>
      <w:hyperlink r:id="rId7" w:history="1">
        <w:r w:rsidRPr="005E71B0">
          <w:rPr>
            <w:rStyle w:val="Hyperlink"/>
            <w:rFonts w:eastAsiaTheme="majorEastAsia"/>
            <w:b/>
            <w:bCs/>
            <w:i/>
          </w:rPr>
          <w:t>jreber@icbasecurities.com</w:t>
        </w:r>
      </w:hyperlink>
      <w:r w:rsidRPr="005E71B0">
        <w:rPr>
          <w:b/>
          <w:bCs/>
          <w:iCs/>
        </w:rPr>
        <w:t>) is president and CEO of ICBA Securities, ICBA’s institutional, fixed-income broker-dealer for community banks</w:t>
      </w:r>
    </w:p>
    <w:p w14:paraId="2CB0B110" w14:textId="77777777" w:rsidR="002E29B9" w:rsidRDefault="002E29B9" w:rsidP="002E29B9">
      <w:pPr>
        <w:tabs>
          <w:tab w:val="left" w:pos="540"/>
        </w:tabs>
        <w:spacing w:after="240" w:line="276" w:lineRule="auto"/>
        <w:rPr>
          <w:rStyle w:val="ICBAbold"/>
          <w:color w:val="FF0000"/>
        </w:rPr>
      </w:pPr>
      <w:r w:rsidRPr="005E71B0">
        <w:rPr>
          <w:rStyle w:val="ICBAbold"/>
          <w:color w:val="FF0000"/>
        </w:rPr>
        <w:t>[ends]</w:t>
      </w:r>
    </w:p>
    <w:p w14:paraId="11857C9F" w14:textId="2B8A6340" w:rsidR="002E29B9" w:rsidRDefault="002E29B9" w:rsidP="002E29B9">
      <w:pPr>
        <w:tabs>
          <w:tab w:val="left" w:pos="540"/>
        </w:tabs>
        <w:spacing w:after="240" w:line="276" w:lineRule="auto"/>
        <w:rPr>
          <w:rStyle w:val="ICBAbold"/>
          <w:color w:val="FF0000"/>
        </w:rPr>
      </w:pPr>
    </w:p>
    <w:p w14:paraId="244FE1A2" w14:textId="77777777" w:rsidR="002E29B9" w:rsidRPr="005E71B0" w:rsidRDefault="002E29B9" w:rsidP="002E29B9">
      <w:pPr>
        <w:tabs>
          <w:tab w:val="left" w:pos="540"/>
        </w:tabs>
        <w:spacing w:after="240" w:line="276" w:lineRule="auto"/>
        <w:rPr>
          <w:rStyle w:val="ICBAbold"/>
        </w:rPr>
      </w:pPr>
      <w:r w:rsidRPr="005E71B0">
        <w:rPr>
          <w:rStyle w:val="ICBAbold"/>
          <w:color w:val="FF0000"/>
        </w:rPr>
        <w:t xml:space="preserve">[sidebar] </w:t>
      </w:r>
      <w:r w:rsidRPr="005E71B0">
        <w:rPr>
          <w:rStyle w:val="ICBAbold"/>
        </w:rPr>
        <w:t>Education on tap</w:t>
      </w:r>
    </w:p>
    <w:p w14:paraId="55098338" w14:textId="1F499844" w:rsidR="0046179D" w:rsidRDefault="0046179D" w:rsidP="0046179D">
      <w:pPr>
        <w:tabs>
          <w:tab w:val="left" w:pos="540"/>
        </w:tabs>
        <w:spacing w:after="240" w:line="276" w:lineRule="auto"/>
        <w:rPr>
          <w:rStyle w:val="ICBAbold"/>
        </w:rPr>
      </w:pPr>
      <w:r>
        <w:rPr>
          <w:rStyle w:val="ICBAbold"/>
        </w:rPr>
        <w:t>Balance sheet webcast in August</w:t>
      </w:r>
    </w:p>
    <w:p w14:paraId="68FBE2AB" w14:textId="6F0249C5" w:rsidR="0046179D" w:rsidRDefault="0046179D" w:rsidP="0046179D">
      <w:pPr>
        <w:spacing w:line="360" w:lineRule="auto"/>
        <w:rPr>
          <w:rStyle w:val="ICBAbold"/>
          <w:b w:val="0"/>
          <w:bCs/>
        </w:rPr>
      </w:pPr>
      <w:r w:rsidRPr="00E5471A">
        <w:rPr>
          <w:rStyle w:val="ICBAbold"/>
          <w:b w:val="0"/>
          <w:bCs/>
        </w:rPr>
        <w:t>ICBA Securities</w:t>
      </w:r>
      <w:r>
        <w:rPr>
          <w:rStyle w:val="ICBAbold"/>
          <w:b w:val="0"/>
          <w:bCs/>
        </w:rPr>
        <w:t xml:space="preserve"> and its </w:t>
      </w:r>
      <w:r w:rsidRPr="00E5471A">
        <w:rPr>
          <w:rStyle w:val="ICBAbold"/>
          <w:b w:val="0"/>
          <w:bCs/>
        </w:rPr>
        <w:t xml:space="preserve">exclusive broker Stifel will </w:t>
      </w:r>
      <w:r>
        <w:rPr>
          <w:rStyle w:val="ICBAbold"/>
          <w:b w:val="0"/>
          <w:bCs/>
        </w:rPr>
        <w:t>host their Quarterly Bank Strategy webinar on August 8 at 1 p.m. Eastern. Several strategists and economists will make presentations, and up to 1.5 hours of CPE are offered.</w:t>
      </w:r>
      <w:r w:rsidRPr="00E5471A">
        <w:rPr>
          <w:rStyle w:val="ICBAbold"/>
          <w:b w:val="0"/>
          <w:bCs/>
        </w:rPr>
        <w:t xml:space="preserve"> For more information and to register, </w:t>
      </w:r>
      <w:r>
        <w:rPr>
          <w:rStyle w:val="ICBAbold"/>
          <w:b w:val="0"/>
          <w:bCs/>
        </w:rPr>
        <w:t xml:space="preserve">contact your Stifel rep. </w:t>
      </w:r>
    </w:p>
    <w:p w14:paraId="16A6B4F0" w14:textId="77777777" w:rsidR="0046179D" w:rsidRDefault="0046179D" w:rsidP="0046179D">
      <w:pPr>
        <w:spacing w:line="360" w:lineRule="auto"/>
        <w:rPr>
          <w:rStyle w:val="ICBAbold"/>
          <w:b w:val="0"/>
          <w:bCs/>
        </w:rPr>
      </w:pPr>
    </w:p>
    <w:p w14:paraId="7CA25458" w14:textId="6C605659" w:rsidR="000F63FD" w:rsidRPr="000F63FD" w:rsidRDefault="000F63FD" w:rsidP="0046179D">
      <w:pPr>
        <w:spacing w:line="360" w:lineRule="auto"/>
        <w:rPr>
          <w:rStyle w:val="ICBAbold"/>
        </w:rPr>
      </w:pPr>
      <w:r w:rsidRPr="000F63FD">
        <w:rPr>
          <w:rStyle w:val="ICBAbold"/>
        </w:rPr>
        <w:t>CFO Forum this month</w:t>
      </w:r>
    </w:p>
    <w:p w14:paraId="320F9F7A" w14:textId="50482D1A" w:rsidR="00B14B8A" w:rsidRDefault="00F56BE5" w:rsidP="0046179D">
      <w:pPr>
        <w:spacing w:line="360" w:lineRule="auto"/>
        <w:rPr>
          <w:rStyle w:val="ICBAbold"/>
          <w:b w:val="0"/>
          <w:iCs/>
        </w:rPr>
      </w:pPr>
      <w:r>
        <w:rPr>
          <w:rStyle w:val="ICBAbold"/>
          <w:b w:val="0"/>
          <w:iCs/>
        </w:rPr>
        <w:t>ICBA</w:t>
      </w:r>
      <w:r w:rsidR="005E140A">
        <w:rPr>
          <w:rStyle w:val="ICBAbold"/>
          <w:b w:val="0"/>
          <w:iCs/>
        </w:rPr>
        <w:t xml:space="preserve"> Securities is sponsoring</w:t>
      </w:r>
      <w:r w:rsidR="00B91E8F">
        <w:rPr>
          <w:rStyle w:val="ICBAbold"/>
          <w:b w:val="0"/>
          <w:iCs/>
        </w:rPr>
        <w:t xml:space="preserve"> and speaking at</w:t>
      </w:r>
      <w:r w:rsidR="005E140A">
        <w:rPr>
          <w:rStyle w:val="ICBAbold"/>
          <w:b w:val="0"/>
          <w:iCs/>
        </w:rPr>
        <w:t xml:space="preserve"> the 2024 ICBA CFO Forum. The event </w:t>
      </w:r>
      <w:r w:rsidR="00CB30ED">
        <w:rPr>
          <w:rStyle w:val="ICBAbold"/>
          <w:b w:val="0"/>
          <w:iCs/>
        </w:rPr>
        <w:t>will be in Indianapolis, August 26-27</w:t>
      </w:r>
      <w:r w:rsidR="003C11FB">
        <w:rPr>
          <w:rStyle w:val="ICBAbold"/>
          <w:b w:val="0"/>
          <w:iCs/>
        </w:rPr>
        <w:t xml:space="preserve">. Up to </w:t>
      </w:r>
      <w:r w:rsidR="00241B9F">
        <w:rPr>
          <w:rStyle w:val="ICBAbold"/>
          <w:b w:val="0"/>
          <w:iCs/>
        </w:rPr>
        <w:t>12 hours of CPE are offered. For more information and to register</w:t>
      </w:r>
      <w:r w:rsidR="009064B9">
        <w:rPr>
          <w:rStyle w:val="ICBAbold"/>
          <w:b w:val="0"/>
          <w:iCs/>
        </w:rPr>
        <w:t>,</w:t>
      </w:r>
      <w:r w:rsidR="00241B9F">
        <w:rPr>
          <w:rStyle w:val="ICBAbold"/>
          <w:b w:val="0"/>
          <w:iCs/>
        </w:rPr>
        <w:t xml:space="preserve"> </w:t>
      </w:r>
      <w:r w:rsidR="00B91E8F">
        <w:rPr>
          <w:rStyle w:val="ICBAbold"/>
          <w:b w:val="0"/>
          <w:iCs/>
        </w:rPr>
        <w:t xml:space="preserve">visit </w:t>
      </w:r>
      <w:hyperlink r:id="rId8" w:history="1">
        <w:r w:rsidR="00B14B8A" w:rsidRPr="00AB2A6A">
          <w:rPr>
            <w:rStyle w:val="Hyperlink"/>
            <w:iCs/>
          </w:rPr>
          <w:t>icba.org/events</w:t>
        </w:r>
      </w:hyperlink>
      <w:r w:rsidR="00B14B8A">
        <w:rPr>
          <w:rStyle w:val="ICBAbold"/>
          <w:b w:val="0"/>
          <w:iCs/>
        </w:rPr>
        <w:t>.</w:t>
      </w:r>
    </w:p>
    <w:p w14:paraId="5E2D720A" w14:textId="2E669FDD" w:rsidR="0046179D" w:rsidRDefault="00B91E8F" w:rsidP="0046179D">
      <w:pPr>
        <w:spacing w:line="360" w:lineRule="auto"/>
        <w:rPr>
          <w:rStyle w:val="ICBAbold"/>
          <w:b w:val="0"/>
          <w:iCs/>
        </w:rPr>
      </w:pPr>
      <w:r>
        <w:rPr>
          <w:rStyle w:val="ICBAbold"/>
          <w:b w:val="0"/>
          <w:iCs/>
        </w:rPr>
        <w:t xml:space="preserve">  </w:t>
      </w:r>
    </w:p>
    <w:p w14:paraId="631C08B7" w14:textId="77777777" w:rsidR="002E29B9" w:rsidRPr="005E71B0" w:rsidRDefault="002E29B9" w:rsidP="002E29B9">
      <w:pPr>
        <w:spacing w:after="240" w:line="276" w:lineRule="auto"/>
        <w:rPr>
          <w:rStyle w:val="ICBAbold"/>
          <w:b w:val="0"/>
          <w:color w:val="FF0000"/>
        </w:rPr>
      </w:pPr>
      <w:r w:rsidRPr="005E71B0">
        <w:rPr>
          <w:rStyle w:val="ICBAbold"/>
          <w:color w:val="FF0000"/>
        </w:rPr>
        <w:t>[sidebar ends]</w:t>
      </w:r>
    </w:p>
    <w:p w14:paraId="45873C7B" w14:textId="77777777" w:rsidR="002E29B9" w:rsidRPr="005E71B0" w:rsidRDefault="002E29B9" w:rsidP="002E29B9">
      <w:pPr>
        <w:spacing w:after="240" w:line="276" w:lineRule="auto"/>
        <w:rPr>
          <w:rStyle w:val="ICBAbold"/>
          <w:b w:val="0"/>
          <w:color w:val="FF0000"/>
        </w:rPr>
      </w:pPr>
    </w:p>
    <w:p w14:paraId="70281904" w14:textId="77777777" w:rsidR="002E29B9" w:rsidRDefault="002E29B9" w:rsidP="002E29B9">
      <w:pPr>
        <w:spacing w:after="240" w:line="276" w:lineRule="auto"/>
        <w:rPr>
          <w:rStyle w:val="ICBAbold"/>
          <w:color w:val="FF0000"/>
        </w:rPr>
      </w:pPr>
      <w:r w:rsidRPr="005E71B0">
        <w:rPr>
          <w:rStyle w:val="ICBAbold"/>
          <w:color w:val="FF0000"/>
        </w:rPr>
        <w:t>[pull quote]</w:t>
      </w:r>
    </w:p>
    <w:p w14:paraId="42EE6986" w14:textId="7CD2BDE3" w:rsidR="002E29B9" w:rsidRPr="005E71B0" w:rsidRDefault="00E32171" w:rsidP="002E29B9">
      <w:pPr>
        <w:spacing w:after="240" w:line="276" w:lineRule="auto"/>
        <w:rPr>
          <w:rStyle w:val="ICBAbold"/>
          <w:b w:val="0"/>
          <w:color w:val="FF0000"/>
        </w:rPr>
      </w:pPr>
      <w:r>
        <w:rPr>
          <w:rStyle w:val="ICBAbold"/>
          <w:b w:val="0"/>
          <w:color w:val="FF0000"/>
        </w:rPr>
        <w:t>“</w:t>
      </w:r>
      <w:r>
        <w:rPr>
          <w:bCs/>
        </w:rPr>
        <w:t>As of March 31, the average tax-equivalent [portfolio] yield was up to 2.83% after bottoming out in September 2021 at 1.77%.”</w:t>
      </w:r>
    </w:p>
    <w:p w14:paraId="25D7FE21" w14:textId="77777777" w:rsidR="00AC5CDB" w:rsidRDefault="00AC5CDB"/>
    <w:sectPr w:rsidR="00AC5CDB" w:rsidSect="008D2B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8138" w14:textId="77777777" w:rsidR="00AF31ED" w:rsidRDefault="00AF31ED" w:rsidP="00BC2486">
      <w:r>
        <w:separator/>
      </w:r>
    </w:p>
  </w:endnote>
  <w:endnote w:type="continuationSeparator" w:id="0">
    <w:p w14:paraId="546C54AB" w14:textId="77777777" w:rsidR="00AF31ED" w:rsidRDefault="00AF31ED" w:rsidP="00BC2486">
      <w:r>
        <w:continuationSeparator/>
      </w:r>
    </w:p>
  </w:endnote>
  <w:endnote w:type="continuationNotice" w:id="1">
    <w:p w14:paraId="1F80DD88" w14:textId="77777777" w:rsidR="00AF31ED" w:rsidRDefault="00AF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3AB0" w14:textId="77777777" w:rsidR="00BC2486" w:rsidRDefault="00BC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55B0" w14:textId="77777777" w:rsidR="00AF31ED" w:rsidRDefault="00AF31ED" w:rsidP="00BC2486">
      <w:r>
        <w:separator/>
      </w:r>
    </w:p>
  </w:footnote>
  <w:footnote w:type="continuationSeparator" w:id="0">
    <w:p w14:paraId="3B7FCD9E" w14:textId="77777777" w:rsidR="00AF31ED" w:rsidRDefault="00AF31ED" w:rsidP="00BC2486">
      <w:r>
        <w:continuationSeparator/>
      </w:r>
    </w:p>
  </w:footnote>
  <w:footnote w:type="continuationNotice" w:id="1">
    <w:p w14:paraId="682A2350" w14:textId="77777777" w:rsidR="00AF31ED" w:rsidRDefault="00AF3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4E83" w14:textId="77777777" w:rsidR="00BC2486" w:rsidRDefault="00BC2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9"/>
    <w:rsid w:val="00002998"/>
    <w:rsid w:val="000034BC"/>
    <w:rsid w:val="000063F5"/>
    <w:rsid w:val="00006FED"/>
    <w:rsid w:val="00007914"/>
    <w:rsid w:val="000114E4"/>
    <w:rsid w:val="00013A2D"/>
    <w:rsid w:val="00013AB6"/>
    <w:rsid w:val="000145C3"/>
    <w:rsid w:val="000153DD"/>
    <w:rsid w:val="000154A5"/>
    <w:rsid w:val="00016BDC"/>
    <w:rsid w:val="0001766E"/>
    <w:rsid w:val="0001770D"/>
    <w:rsid w:val="00023687"/>
    <w:rsid w:val="00024470"/>
    <w:rsid w:val="000257DF"/>
    <w:rsid w:val="00026A75"/>
    <w:rsid w:val="000312AD"/>
    <w:rsid w:val="00031F9E"/>
    <w:rsid w:val="00031FBB"/>
    <w:rsid w:val="00033824"/>
    <w:rsid w:val="00034044"/>
    <w:rsid w:val="0003446B"/>
    <w:rsid w:val="0003523F"/>
    <w:rsid w:val="000357F4"/>
    <w:rsid w:val="00037045"/>
    <w:rsid w:val="00037779"/>
    <w:rsid w:val="0004087D"/>
    <w:rsid w:val="000416C6"/>
    <w:rsid w:val="00045D12"/>
    <w:rsid w:val="0005331D"/>
    <w:rsid w:val="00053929"/>
    <w:rsid w:val="00053D96"/>
    <w:rsid w:val="0005676C"/>
    <w:rsid w:val="000571ED"/>
    <w:rsid w:val="00057AB9"/>
    <w:rsid w:val="00057BC8"/>
    <w:rsid w:val="00062C26"/>
    <w:rsid w:val="000632C2"/>
    <w:rsid w:val="00063A9F"/>
    <w:rsid w:val="00065606"/>
    <w:rsid w:val="00067E2A"/>
    <w:rsid w:val="00067EA9"/>
    <w:rsid w:val="00070150"/>
    <w:rsid w:val="0007200E"/>
    <w:rsid w:val="000722B3"/>
    <w:rsid w:val="0007251A"/>
    <w:rsid w:val="00072926"/>
    <w:rsid w:val="00074A42"/>
    <w:rsid w:val="00075532"/>
    <w:rsid w:val="00075EF8"/>
    <w:rsid w:val="00080F1C"/>
    <w:rsid w:val="00080F33"/>
    <w:rsid w:val="00083662"/>
    <w:rsid w:val="00087915"/>
    <w:rsid w:val="0008797F"/>
    <w:rsid w:val="000938F9"/>
    <w:rsid w:val="0009394F"/>
    <w:rsid w:val="00094BAB"/>
    <w:rsid w:val="000956A9"/>
    <w:rsid w:val="00095DAF"/>
    <w:rsid w:val="00097B2F"/>
    <w:rsid w:val="000A1958"/>
    <w:rsid w:val="000A4812"/>
    <w:rsid w:val="000A505B"/>
    <w:rsid w:val="000A519B"/>
    <w:rsid w:val="000A60BB"/>
    <w:rsid w:val="000B0089"/>
    <w:rsid w:val="000B044E"/>
    <w:rsid w:val="000B0BBD"/>
    <w:rsid w:val="000B105E"/>
    <w:rsid w:val="000B2A72"/>
    <w:rsid w:val="000B3554"/>
    <w:rsid w:val="000B5FD7"/>
    <w:rsid w:val="000B7497"/>
    <w:rsid w:val="000B7996"/>
    <w:rsid w:val="000B79C4"/>
    <w:rsid w:val="000C1A4D"/>
    <w:rsid w:val="000C240F"/>
    <w:rsid w:val="000C248F"/>
    <w:rsid w:val="000C664C"/>
    <w:rsid w:val="000C69A6"/>
    <w:rsid w:val="000C6DB6"/>
    <w:rsid w:val="000C6EB9"/>
    <w:rsid w:val="000C7993"/>
    <w:rsid w:val="000C7A0A"/>
    <w:rsid w:val="000D3022"/>
    <w:rsid w:val="000D38D5"/>
    <w:rsid w:val="000D49ED"/>
    <w:rsid w:val="000D51B9"/>
    <w:rsid w:val="000D6923"/>
    <w:rsid w:val="000D77D9"/>
    <w:rsid w:val="000E0B57"/>
    <w:rsid w:val="000E25AD"/>
    <w:rsid w:val="000E3F7B"/>
    <w:rsid w:val="000E5E7B"/>
    <w:rsid w:val="000E62CF"/>
    <w:rsid w:val="000E6423"/>
    <w:rsid w:val="000F04ED"/>
    <w:rsid w:val="000F1F4A"/>
    <w:rsid w:val="000F23E1"/>
    <w:rsid w:val="000F2FFC"/>
    <w:rsid w:val="000F3AD9"/>
    <w:rsid w:val="000F41F2"/>
    <w:rsid w:val="000F4FC9"/>
    <w:rsid w:val="000F53E3"/>
    <w:rsid w:val="000F5838"/>
    <w:rsid w:val="000F616B"/>
    <w:rsid w:val="000F634A"/>
    <w:rsid w:val="000F63FD"/>
    <w:rsid w:val="00102F4F"/>
    <w:rsid w:val="00103CAD"/>
    <w:rsid w:val="00104862"/>
    <w:rsid w:val="001062A1"/>
    <w:rsid w:val="0011007B"/>
    <w:rsid w:val="00111E48"/>
    <w:rsid w:val="00112782"/>
    <w:rsid w:val="001142D8"/>
    <w:rsid w:val="00115557"/>
    <w:rsid w:val="00117E2E"/>
    <w:rsid w:val="00120042"/>
    <w:rsid w:val="00121449"/>
    <w:rsid w:val="00121494"/>
    <w:rsid w:val="00125109"/>
    <w:rsid w:val="001252DC"/>
    <w:rsid w:val="00142080"/>
    <w:rsid w:val="001454C8"/>
    <w:rsid w:val="001475BC"/>
    <w:rsid w:val="0014763C"/>
    <w:rsid w:val="00147D81"/>
    <w:rsid w:val="001501B0"/>
    <w:rsid w:val="0015184F"/>
    <w:rsid w:val="001527EB"/>
    <w:rsid w:val="001550F4"/>
    <w:rsid w:val="0015551A"/>
    <w:rsid w:val="00155EBC"/>
    <w:rsid w:val="00156AE1"/>
    <w:rsid w:val="00160DE4"/>
    <w:rsid w:val="00162453"/>
    <w:rsid w:val="001625DC"/>
    <w:rsid w:val="00165470"/>
    <w:rsid w:val="00165ABE"/>
    <w:rsid w:val="001663A5"/>
    <w:rsid w:val="00166F18"/>
    <w:rsid w:val="00170ED9"/>
    <w:rsid w:val="00174388"/>
    <w:rsid w:val="00174D25"/>
    <w:rsid w:val="00176A00"/>
    <w:rsid w:val="001770A8"/>
    <w:rsid w:val="00181865"/>
    <w:rsid w:val="001823B9"/>
    <w:rsid w:val="00183099"/>
    <w:rsid w:val="00184D05"/>
    <w:rsid w:val="00187870"/>
    <w:rsid w:val="00190B36"/>
    <w:rsid w:val="001930C4"/>
    <w:rsid w:val="00193F9E"/>
    <w:rsid w:val="00196864"/>
    <w:rsid w:val="0019725C"/>
    <w:rsid w:val="001A1609"/>
    <w:rsid w:val="001A1B5E"/>
    <w:rsid w:val="001A2A7D"/>
    <w:rsid w:val="001A428E"/>
    <w:rsid w:val="001A52F9"/>
    <w:rsid w:val="001A62C8"/>
    <w:rsid w:val="001A76D0"/>
    <w:rsid w:val="001B0C58"/>
    <w:rsid w:val="001B2419"/>
    <w:rsid w:val="001B3D54"/>
    <w:rsid w:val="001B4B52"/>
    <w:rsid w:val="001B60A2"/>
    <w:rsid w:val="001B612B"/>
    <w:rsid w:val="001B7DEC"/>
    <w:rsid w:val="001C0F9F"/>
    <w:rsid w:val="001C2A30"/>
    <w:rsid w:val="001C2A56"/>
    <w:rsid w:val="001C37BD"/>
    <w:rsid w:val="001C3D2F"/>
    <w:rsid w:val="001C50C5"/>
    <w:rsid w:val="001C6190"/>
    <w:rsid w:val="001C630E"/>
    <w:rsid w:val="001C680D"/>
    <w:rsid w:val="001D067F"/>
    <w:rsid w:val="001D1461"/>
    <w:rsid w:val="001D283B"/>
    <w:rsid w:val="001D5449"/>
    <w:rsid w:val="001D55D2"/>
    <w:rsid w:val="001D6CB4"/>
    <w:rsid w:val="001E0865"/>
    <w:rsid w:val="001E2A94"/>
    <w:rsid w:val="001E2C64"/>
    <w:rsid w:val="001E4AF3"/>
    <w:rsid w:val="001E5E5E"/>
    <w:rsid w:val="001E6CF3"/>
    <w:rsid w:val="001E70CB"/>
    <w:rsid w:val="001E7851"/>
    <w:rsid w:val="001E7DB8"/>
    <w:rsid w:val="001F17DB"/>
    <w:rsid w:val="001F2B2A"/>
    <w:rsid w:val="001F2F1C"/>
    <w:rsid w:val="001F38B7"/>
    <w:rsid w:val="001F4356"/>
    <w:rsid w:val="001F5E2E"/>
    <w:rsid w:val="001F63E1"/>
    <w:rsid w:val="001F7F4F"/>
    <w:rsid w:val="00200635"/>
    <w:rsid w:val="002060CE"/>
    <w:rsid w:val="00207501"/>
    <w:rsid w:val="002128E6"/>
    <w:rsid w:val="00213ADA"/>
    <w:rsid w:val="002158F3"/>
    <w:rsid w:val="002168E7"/>
    <w:rsid w:val="00217109"/>
    <w:rsid w:val="0022109E"/>
    <w:rsid w:val="002217DD"/>
    <w:rsid w:val="00223161"/>
    <w:rsid w:val="00225354"/>
    <w:rsid w:val="0023013F"/>
    <w:rsid w:val="002322B9"/>
    <w:rsid w:val="00234E3B"/>
    <w:rsid w:val="00235C73"/>
    <w:rsid w:val="0024075D"/>
    <w:rsid w:val="00241B9F"/>
    <w:rsid w:val="00243ED6"/>
    <w:rsid w:val="00244E3D"/>
    <w:rsid w:val="00247E6C"/>
    <w:rsid w:val="0025106A"/>
    <w:rsid w:val="002510FC"/>
    <w:rsid w:val="002548A5"/>
    <w:rsid w:val="00255202"/>
    <w:rsid w:val="0025596B"/>
    <w:rsid w:val="00255BEA"/>
    <w:rsid w:val="002642E3"/>
    <w:rsid w:val="00266830"/>
    <w:rsid w:val="00266A45"/>
    <w:rsid w:val="002721D3"/>
    <w:rsid w:val="00272C80"/>
    <w:rsid w:val="00274D10"/>
    <w:rsid w:val="00274F6B"/>
    <w:rsid w:val="0028106C"/>
    <w:rsid w:val="00281976"/>
    <w:rsid w:val="00283154"/>
    <w:rsid w:val="002844FF"/>
    <w:rsid w:val="002846EB"/>
    <w:rsid w:val="002848C4"/>
    <w:rsid w:val="002861FE"/>
    <w:rsid w:val="00292669"/>
    <w:rsid w:val="00294559"/>
    <w:rsid w:val="002967F9"/>
    <w:rsid w:val="002A3D39"/>
    <w:rsid w:val="002A4507"/>
    <w:rsid w:val="002A4A7D"/>
    <w:rsid w:val="002A4B17"/>
    <w:rsid w:val="002A53A8"/>
    <w:rsid w:val="002A6653"/>
    <w:rsid w:val="002B1635"/>
    <w:rsid w:val="002B1D40"/>
    <w:rsid w:val="002B37DF"/>
    <w:rsid w:val="002B48AB"/>
    <w:rsid w:val="002B6223"/>
    <w:rsid w:val="002B65FD"/>
    <w:rsid w:val="002B691E"/>
    <w:rsid w:val="002B7A6D"/>
    <w:rsid w:val="002B7BEF"/>
    <w:rsid w:val="002C1831"/>
    <w:rsid w:val="002C1A28"/>
    <w:rsid w:val="002C1BBC"/>
    <w:rsid w:val="002C1F9D"/>
    <w:rsid w:val="002C26D8"/>
    <w:rsid w:val="002C326E"/>
    <w:rsid w:val="002C3BE8"/>
    <w:rsid w:val="002C4432"/>
    <w:rsid w:val="002C4B27"/>
    <w:rsid w:val="002C597C"/>
    <w:rsid w:val="002C6758"/>
    <w:rsid w:val="002C7B60"/>
    <w:rsid w:val="002D011E"/>
    <w:rsid w:val="002D0B30"/>
    <w:rsid w:val="002D2294"/>
    <w:rsid w:val="002D45E4"/>
    <w:rsid w:val="002D5DBF"/>
    <w:rsid w:val="002D6094"/>
    <w:rsid w:val="002D68DC"/>
    <w:rsid w:val="002D74CE"/>
    <w:rsid w:val="002E29B9"/>
    <w:rsid w:val="002E4864"/>
    <w:rsid w:val="002E4873"/>
    <w:rsid w:val="002E5BB2"/>
    <w:rsid w:val="002E5F32"/>
    <w:rsid w:val="002E653A"/>
    <w:rsid w:val="002E6E19"/>
    <w:rsid w:val="002E783A"/>
    <w:rsid w:val="002E7D4B"/>
    <w:rsid w:val="002F5663"/>
    <w:rsid w:val="002F7CB7"/>
    <w:rsid w:val="00300FE2"/>
    <w:rsid w:val="003044D2"/>
    <w:rsid w:val="00305A41"/>
    <w:rsid w:val="00306A24"/>
    <w:rsid w:val="003075C9"/>
    <w:rsid w:val="003076E8"/>
    <w:rsid w:val="003112B9"/>
    <w:rsid w:val="00314341"/>
    <w:rsid w:val="0031438E"/>
    <w:rsid w:val="0031533B"/>
    <w:rsid w:val="00315D4F"/>
    <w:rsid w:val="00317665"/>
    <w:rsid w:val="00321029"/>
    <w:rsid w:val="00326A56"/>
    <w:rsid w:val="00327C16"/>
    <w:rsid w:val="00327C8B"/>
    <w:rsid w:val="00333D84"/>
    <w:rsid w:val="0033478F"/>
    <w:rsid w:val="00335C81"/>
    <w:rsid w:val="00337B89"/>
    <w:rsid w:val="00340C78"/>
    <w:rsid w:val="00343675"/>
    <w:rsid w:val="00343E61"/>
    <w:rsid w:val="00344621"/>
    <w:rsid w:val="00344B48"/>
    <w:rsid w:val="003452F9"/>
    <w:rsid w:val="00350E13"/>
    <w:rsid w:val="00350F9C"/>
    <w:rsid w:val="00351328"/>
    <w:rsid w:val="003514D1"/>
    <w:rsid w:val="0035185A"/>
    <w:rsid w:val="003545F3"/>
    <w:rsid w:val="00354F89"/>
    <w:rsid w:val="00357228"/>
    <w:rsid w:val="00362773"/>
    <w:rsid w:val="003642CE"/>
    <w:rsid w:val="003642EC"/>
    <w:rsid w:val="0036650F"/>
    <w:rsid w:val="0037264D"/>
    <w:rsid w:val="00373C6C"/>
    <w:rsid w:val="00374333"/>
    <w:rsid w:val="00375130"/>
    <w:rsid w:val="00375F8E"/>
    <w:rsid w:val="00377210"/>
    <w:rsid w:val="0038021B"/>
    <w:rsid w:val="00384C16"/>
    <w:rsid w:val="00387DCD"/>
    <w:rsid w:val="003903C3"/>
    <w:rsid w:val="003905DB"/>
    <w:rsid w:val="003917FB"/>
    <w:rsid w:val="00391A82"/>
    <w:rsid w:val="00393765"/>
    <w:rsid w:val="003953D3"/>
    <w:rsid w:val="003A49A5"/>
    <w:rsid w:val="003A6740"/>
    <w:rsid w:val="003B0385"/>
    <w:rsid w:val="003B4B9E"/>
    <w:rsid w:val="003B5E97"/>
    <w:rsid w:val="003B6125"/>
    <w:rsid w:val="003B6A3B"/>
    <w:rsid w:val="003C11FB"/>
    <w:rsid w:val="003C225B"/>
    <w:rsid w:val="003C26CF"/>
    <w:rsid w:val="003C2F55"/>
    <w:rsid w:val="003C35B2"/>
    <w:rsid w:val="003C53C7"/>
    <w:rsid w:val="003C6BD5"/>
    <w:rsid w:val="003D2178"/>
    <w:rsid w:val="003D39D0"/>
    <w:rsid w:val="003D78BB"/>
    <w:rsid w:val="003D7C98"/>
    <w:rsid w:val="003E1B27"/>
    <w:rsid w:val="003E4006"/>
    <w:rsid w:val="003E57A0"/>
    <w:rsid w:val="003E635D"/>
    <w:rsid w:val="003F02A3"/>
    <w:rsid w:val="003F036F"/>
    <w:rsid w:val="003F1053"/>
    <w:rsid w:val="003F3B2A"/>
    <w:rsid w:val="003F57BC"/>
    <w:rsid w:val="003F6057"/>
    <w:rsid w:val="003F6196"/>
    <w:rsid w:val="0040049A"/>
    <w:rsid w:val="0040291B"/>
    <w:rsid w:val="00402B04"/>
    <w:rsid w:val="00405743"/>
    <w:rsid w:val="0041123D"/>
    <w:rsid w:val="004138AA"/>
    <w:rsid w:val="004138F7"/>
    <w:rsid w:val="004142F2"/>
    <w:rsid w:val="004143FE"/>
    <w:rsid w:val="00415A72"/>
    <w:rsid w:val="0042343D"/>
    <w:rsid w:val="00423A33"/>
    <w:rsid w:val="0042457E"/>
    <w:rsid w:val="00424637"/>
    <w:rsid w:val="00424C15"/>
    <w:rsid w:val="0042592F"/>
    <w:rsid w:val="00425A4E"/>
    <w:rsid w:val="0042638C"/>
    <w:rsid w:val="00427DC6"/>
    <w:rsid w:val="00430154"/>
    <w:rsid w:val="00431471"/>
    <w:rsid w:val="004318D2"/>
    <w:rsid w:val="00432B3A"/>
    <w:rsid w:val="00433DE1"/>
    <w:rsid w:val="00434672"/>
    <w:rsid w:val="004359FE"/>
    <w:rsid w:val="00436519"/>
    <w:rsid w:val="00437E7A"/>
    <w:rsid w:val="004403D8"/>
    <w:rsid w:val="00442BDD"/>
    <w:rsid w:val="004445F9"/>
    <w:rsid w:val="00446D6B"/>
    <w:rsid w:val="00450567"/>
    <w:rsid w:val="0045188E"/>
    <w:rsid w:val="00453FD6"/>
    <w:rsid w:val="00454113"/>
    <w:rsid w:val="00454152"/>
    <w:rsid w:val="0045712A"/>
    <w:rsid w:val="004577CB"/>
    <w:rsid w:val="0046179D"/>
    <w:rsid w:val="00461951"/>
    <w:rsid w:val="00463235"/>
    <w:rsid w:val="00463D87"/>
    <w:rsid w:val="004650ED"/>
    <w:rsid w:val="00465FDD"/>
    <w:rsid w:val="00466B09"/>
    <w:rsid w:val="004671A9"/>
    <w:rsid w:val="00467985"/>
    <w:rsid w:val="00473F0E"/>
    <w:rsid w:val="0048053B"/>
    <w:rsid w:val="004822CB"/>
    <w:rsid w:val="004828A2"/>
    <w:rsid w:val="004840EF"/>
    <w:rsid w:val="00485B56"/>
    <w:rsid w:val="004864F6"/>
    <w:rsid w:val="004874AA"/>
    <w:rsid w:val="00487E09"/>
    <w:rsid w:val="00490A1C"/>
    <w:rsid w:val="0049157B"/>
    <w:rsid w:val="0049199B"/>
    <w:rsid w:val="00492E1B"/>
    <w:rsid w:val="004933F0"/>
    <w:rsid w:val="00494EB1"/>
    <w:rsid w:val="004A01C8"/>
    <w:rsid w:val="004A1554"/>
    <w:rsid w:val="004A1A1C"/>
    <w:rsid w:val="004A2ADD"/>
    <w:rsid w:val="004A3BB7"/>
    <w:rsid w:val="004A431F"/>
    <w:rsid w:val="004A5212"/>
    <w:rsid w:val="004A6A2F"/>
    <w:rsid w:val="004B1CAA"/>
    <w:rsid w:val="004B2956"/>
    <w:rsid w:val="004B4E39"/>
    <w:rsid w:val="004B6A87"/>
    <w:rsid w:val="004C1D9B"/>
    <w:rsid w:val="004C255C"/>
    <w:rsid w:val="004C2842"/>
    <w:rsid w:val="004C356E"/>
    <w:rsid w:val="004C3929"/>
    <w:rsid w:val="004C6269"/>
    <w:rsid w:val="004C64E0"/>
    <w:rsid w:val="004C6796"/>
    <w:rsid w:val="004D0203"/>
    <w:rsid w:val="004D1C28"/>
    <w:rsid w:val="004D6C0A"/>
    <w:rsid w:val="004E4238"/>
    <w:rsid w:val="004E6497"/>
    <w:rsid w:val="004F1845"/>
    <w:rsid w:val="005006CA"/>
    <w:rsid w:val="00503458"/>
    <w:rsid w:val="0050483B"/>
    <w:rsid w:val="005059CC"/>
    <w:rsid w:val="00506BDE"/>
    <w:rsid w:val="00507045"/>
    <w:rsid w:val="005108B7"/>
    <w:rsid w:val="0051123F"/>
    <w:rsid w:val="005119FD"/>
    <w:rsid w:val="005126E6"/>
    <w:rsid w:val="0051366B"/>
    <w:rsid w:val="005155D5"/>
    <w:rsid w:val="00516957"/>
    <w:rsid w:val="00522B23"/>
    <w:rsid w:val="00522E07"/>
    <w:rsid w:val="00530B44"/>
    <w:rsid w:val="00531F22"/>
    <w:rsid w:val="00531F6B"/>
    <w:rsid w:val="00532036"/>
    <w:rsid w:val="0053350A"/>
    <w:rsid w:val="00534619"/>
    <w:rsid w:val="00534FF1"/>
    <w:rsid w:val="00535C0F"/>
    <w:rsid w:val="0053629D"/>
    <w:rsid w:val="00536923"/>
    <w:rsid w:val="00536BB3"/>
    <w:rsid w:val="00536CFA"/>
    <w:rsid w:val="00536FBC"/>
    <w:rsid w:val="00537013"/>
    <w:rsid w:val="00537B9E"/>
    <w:rsid w:val="0054132A"/>
    <w:rsid w:val="0054196A"/>
    <w:rsid w:val="00542823"/>
    <w:rsid w:val="005454D6"/>
    <w:rsid w:val="00546549"/>
    <w:rsid w:val="005525C8"/>
    <w:rsid w:val="00555076"/>
    <w:rsid w:val="00555157"/>
    <w:rsid w:val="00556421"/>
    <w:rsid w:val="005572A4"/>
    <w:rsid w:val="0056270E"/>
    <w:rsid w:val="00562E81"/>
    <w:rsid w:val="00564A73"/>
    <w:rsid w:val="00567748"/>
    <w:rsid w:val="0056782C"/>
    <w:rsid w:val="00571237"/>
    <w:rsid w:val="005733A3"/>
    <w:rsid w:val="005749EE"/>
    <w:rsid w:val="00580E95"/>
    <w:rsid w:val="005813B3"/>
    <w:rsid w:val="0058188E"/>
    <w:rsid w:val="005822D0"/>
    <w:rsid w:val="00583F78"/>
    <w:rsid w:val="00584051"/>
    <w:rsid w:val="00585576"/>
    <w:rsid w:val="0058764B"/>
    <w:rsid w:val="00587C65"/>
    <w:rsid w:val="005916A5"/>
    <w:rsid w:val="00591D34"/>
    <w:rsid w:val="00592C69"/>
    <w:rsid w:val="005953A7"/>
    <w:rsid w:val="00595ACF"/>
    <w:rsid w:val="00596A3E"/>
    <w:rsid w:val="00596E67"/>
    <w:rsid w:val="0059759A"/>
    <w:rsid w:val="00597A44"/>
    <w:rsid w:val="005A27A8"/>
    <w:rsid w:val="005A2850"/>
    <w:rsid w:val="005A3C4C"/>
    <w:rsid w:val="005B1C44"/>
    <w:rsid w:val="005B3E40"/>
    <w:rsid w:val="005B5233"/>
    <w:rsid w:val="005B613E"/>
    <w:rsid w:val="005B6BF5"/>
    <w:rsid w:val="005B6F9F"/>
    <w:rsid w:val="005C02A7"/>
    <w:rsid w:val="005C0B34"/>
    <w:rsid w:val="005C2C27"/>
    <w:rsid w:val="005C5C42"/>
    <w:rsid w:val="005C7994"/>
    <w:rsid w:val="005D0714"/>
    <w:rsid w:val="005D11DE"/>
    <w:rsid w:val="005D1CCA"/>
    <w:rsid w:val="005D4B42"/>
    <w:rsid w:val="005D4DEA"/>
    <w:rsid w:val="005D6BB6"/>
    <w:rsid w:val="005E140A"/>
    <w:rsid w:val="005E1CAF"/>
    <w:rsid w:val="005E226B"/>
    <w:rsid w:val="005E2D48"/>
    <w:rsid w:val="005E3687"/>
    <w:rsid w:val="005E37DF"/>
    <w:rsid w:val="005E6A7A"/>
    <w:rsid w:val="005E71B0"/>
    <w:rsid w:val="005E737E"/>
    <w:rsid w:val="005F0DA1"/>
    <w:rsid w:val="005F4A4A"/>
    <w:rsid w:val="005F56D5"/>
    <w:rsid w:val="005F5B8A"/>
    <w:rsid w:val="005F5F80"/>
    <w:rsid w:val="005F7729"/>
    <w:rsid w:val="00600EBB"/>
    <w:rsid w:val="00602423"/>
    <w:rsid w:val="00605C83"/>
    <w:rsid w:val="00606050"/>
    <w:rsid w:val="00606141"/>
    <w:rsid w:val="0060658E"/>
    <w:rsid w:val="00606C95"/>
    <w:rsid w:val="006078BA"/>
    <w:rsid w:val="00614C60"/>
    <w:rsid w:val="00616A48"/>
    <w:rsid w:val="00617C73"/>
    <w:rsid w:val="00617FB7"/>
    <w:rsid w:val="006212C4"/>
    <w:rsid w:val="00622C64"/>
    <w:rsid w:val="00623223"/>
    <w:rsid w:val="00623795"/>
    <w:rsid w:val="006267CB"/>
    <w:rsid w:val="00630634"/>
    <w:rsid w:val="0063216D"/>
    <w:rsid w:val="0063335D"/>
    <w:rsid w:val="006333E1"/>
    <w:rsid w:val="0063481A"/>
    <w:rsid w:val="00634FE7"/>
    <w:rsid w:val="00635AAA"/>
    <w:rsid w:val="0063721E"/>
    <w:rsid w:val="00641683"/>
    <w:rsid w:val="0064216A"/>
    <w:rsid w:val="00645B42"/>
    <w:rsid w:val="0064712A"/>
    <w:rsid w:val="00647433"/>
    <w:rsid w:val="00650A77"/>
    <w:rsid w:val="00653F5C"/>
    <w:rsid w:val="00654AA8"/>
    <w:rsid w:val="00655565"/>
    <w:rsid w:val="00656791"/>
    <w:rsid w:val="00656D86"/>
    <w:rsid w:val="006574E1"/>
    <w:rsid w:val="0066097E"/>
    <w:rsid w:val="00660A57"/>
    <w:rsid w:val="006636BC"/>
    <w:rsid w:val="00666B97"/>
    <w:rsid w:val="00667B79"/>
    <w:rsid w:val="00670DB0"/>
    <w:rsid w:val="0067214C"/>
    <w:rsid w:val="00672C3E"/>
    <w:rsid w:val="0067301C"/>
    <w:rsid w:val="006766B9"/>
    <w:rsid w:val="0068097A"/>
    <w:rsid w:val="00681155"/>
    <w:rsid w:val="006817B6"/>
    <w:rsid w:val="00683AB5"/>
    <w:rsid w:val="00684177"/>
    <w:rsid w:val="00686579"/>
    <w:rsid w:val="006867F8"/>
    <w:rsid w:val="00691ABA"/>
    <w:rsid w:val="00692709"/>
    <w:rsid w:val="00692F17"/>
    <w:rsid w:val="006951EB"/>
    <w:rsid w:val="00695DAF"/>
    <w:rsid w:val="006974C0"/>
    <w:rsid w:val="006A11A9"/>
    <w:rsid w:val="006A142B"/>
    <w:rsid w:val="006A24A3"/>
    <w:rsid w:val="006A4377"/>
    <w:rsid w:val="006A4DD1"/>
    <w:rsid w:val="006A5265"/>
    <w:rsid w:val="006A57F2"/>
    <w:rsid w:val="006A5DA0"/>
    <w:rsid w:val="006A6205"/>
    <w:rsid w:val="006A768A"/>
    <w:rsid w:val="006B0544"/>
    <w:rsid w:val="006B141F"/>
    <w:rsid w:val="006B26B7"/>
    <w:rsid w:val="006B2719"/>
    <w:rsid w:val="006B374F"/>
    <w:rsid w:val="006B6F3F"/>
    <w:rsid w:val="006B7154"/>
    <w:rsid w:val="006C2292"/>
    <w:rsid w:val="006C3740"/>
    <w:rsid w:val="006C404A"/>
    <w:rsid w:val="006C6C2A"/>
    <w:rsid w:val="006C6C3D"/>
    <w:rsid w:val="006C6E11"/>
    <w:rsid w:val="006C7727"/>
    <w:rsid w:val="006C7740"/>
    <w:rsid w:val="006D2ECC"/>
    <w:rsid w:val="006D3604"/>
    <w:rsid w:val="006D3B14"/>
    <w:rsid w:val="006D3DD3"/>
    <w:rsid w:val="006D4121"/>
    <w:rsid w:val="006D5636"/>
    <w:rsid w:val="006D73C9"/>
    <w:rsid w:val="006E0DD0"/>
    <w:rsid w:val="006E1516"/>
    <w:rsid w:val="006E33DA"/>
    <w:rsid w:val="006E4D45"/>
    <w:rsid w:val="006E4E87"/>
    <w:rsid w:val="006E4FF7"/>
    <w:rsid w:val="006E5B49"/>
    <w:rsid w:val="006E7198"/>
    <w:rsid w:val="006E72E8"/>
    <w:rsid w:val="006E7891"/>
    <w:rsid w:val="006F7337"/>
    <w:rsid w:val="006F767F"/>
    <w:rsid w:val="007008E6"/>
    <w:rsid w:val="0070294A"/>
    <w:rsid w:val="00703101"/>
    <w:rsid w:val="0070325E"/>
    <w:rsid w:val="0070355E"/>
    <w:rsid w:val="007035A1"/>
    <w:rsid w:val="007035CE"/>
    <w:rsid w:val="0070554C"/>
    <w:rsid w:val="00705C57"/>
    <w:rsid w:val="0070624A"/>
    <w:rsid w:val="00707F14"/>
    <w:rsid w:val="0071376F"/>
    <w:rsid w:val="00714418"/>
    <w:rsid w:val="007145A4"/>
    <w:rsid w:val="0071475E"/>
    <w:rsid w:val="007148C7"/>
    <w:rsid w:val="00714A1F"/>
    <w:rsid w:val="0071536B"/>
    <w:rsid w:val="00716426"/>
    <w:rsid w:val="00716ABE"/>
    <w:rsid w:val="007202F4"/>
    <w:rsid w:val="00720586"/>
    <w:rsid w:val="007211F1"/>
    <w:rsid w:val="007220DB"/>
    <w:rsid w:val="00723E95"/>
    <w:rsid w:val="00726232"/>
    <w:rsid w:val="0072771D"/>
    <w:rsid w:val="00730D91"/>
    <w:rsid w:val="00730EEF"/>
    <w:rsid w:val="00731AA8"/>
    <w:rsid w:val="00731DB4"/>
    <w:rsid w:val="0073370F"/>
    <w:rsid w:val="00734F71"/>
    <w:rsid w:val="00735247"/>
    <w:rsid w:val="00736D7E"/>
    <w:rsid w:val="00742F7D"/>
    <w:rsid w:val="00743933"/>
    <w:rsid w:val="00747634"/>
    <w:rsid w:val="00750728"/>
    <w:rsid w:val="0075695A"/>
    <w:rsid w:val="00760B00"/>
    <w:rsid w:val="00762EE5"/>
    <w:rsid w:val="00763F89"/>
    <w:rsid w:val="007642A7"/>
    <w:rsid w:val="00764A15"/>
    <w:rsid w:val="00766D62"/>
    <w:rsid w:val="0077039D"/>
    <w:rsid w:val="00770790"/>
    <w:rsid w:val="00772E04"/>
    <w:rsid w:val="007739F1"/>
    <w:rsid w:val="00774BEE"/>
    <w:rsid w:val="0077646D"/>
    <w:rsid w:val="0077776A"/>
    <w:rsid w:val="0078038A"/>
    <w:rsid w:val="00780A48"/>
    <w:rsid w:val="00781D0D"/>
    <w:rsid w:val="00781E45"/>
    <w:rsid w:val="007827CF"/>
    <w:rsid w:val="00783C46"/>
    <w:rsid w:val="007857BE"/>
    <w:rsid w:val="00786A36"/>
    <w:rsid w:val="00786BB5"/>
    <w:rsid w:val="007922AF"/>
    <w:rsid w:val="00792F6F"/>
    <w:rsid w:val="00793464"/>
    <w:rsid w:val="00795EC1"/>
    <w:rsid w:val="0079756B"/>
    <w:rsid w:val="00797C1E"/>
    <w:rsid w:val="007A09A1"/>
    <w:rsid w:val="007A0C97"/>
    <w:rsid w:val="007A0D00"/>
    <w:rsid w:val="007A3EF5"/>
    <w:rsid w:val="007A4A58"/>
    <w:rsid w:val="007A5546"/>
    <w:rsid w:val="007A587B"/>
    <w:rsid w:val="007A6850"/>
    <w:rsid w:val="007A6F68"/>
    <w:rsid w:val="007B11FE"/>
    <w:rsid w:val="007B157B"/>
    <w:rsid w:val="007B1803"/>
    <w:rsid w:val="007B1CC4"/>
    <w:rsid w:val="007B352B"/>
    <w:rsid w:val="007B49B0"/>
    <w:rsid w:val="007B5658"/>
    <w:rsid w:val="007B6A1A"/>
    <w:rsid w:val="007B6C18"/>
    <w:rsid w:val="007B76D7"/>
    <w:rsid w:val="007C0D64"/>
    <w:rsid w:val="007C14B5"/>
    <w:rsid w:val="007C20BB"/>
    <w:rsid w:val="007C2265"/>
    <w:rsid w:val="007C2D7F"/>
    <w:rsid w:val="007C6121"/>
    <w:rsid w:val="007D194C"/>
    <w:rsid w:val="007D32C8"/>
    <w:rsid w:val="007D67D0"/>
    <w:rsid w:val="007D7B28"/>
    <w:rsid w:val="007E17BF"/>
    <w:rsid w:val="007E1E12"/>
    <w:rsid w:val="007E4B88"/>
    <w:rsid w:val="007E5385"/>
    <w:rsid w:val="007E5DB2"/>
    <w:rsid w:val="007E75E2"/>
    <w:rsid w:val="007F04D5"/>
    <w:rsid w:val="007F0504"/>
    <w:rsid w:val="007F10D9"/>
    <w:rsid w:val="007F13A4"/>
    <w:rsid w:val="007F215A"/>
    <w:rsid w:val="007F2688"/>
    <w:rsid w:val="007F2DA6"/>
    <w:rsid w:val="007F3D5F"/>
    <w:rsid w:val="007F45CF"/>
    <w:rsid w:val="007F5643"/>
    <w:rsid w:val="007F6FB8"/>
    <w:rsid w:val="00803F9E"/>
    <w:rsid w:val="00804A72"/>
    <w:rsid w:val="00805AD3"/>
    <w:rsid w:val="00806509"/>
    <w:rsid w:val="00806DDB"/>
    <w:rsid w:val="00806F34"/>
    <w:rsid w:val="00807094"/>
    <w:rsid w:val="00807F56"/>
    <w:rsid w:val="00811AF0"/>
    <w:rsid w:val="00812192"/>
    <w:rsid w:val="008122E9"/>
    <w:rsid w:val="0081280B"/>
    <w:rsid w:val="008170DD"/>
    <w:rsid w:val="00822BAA"/>
    <w:rsid w:val="008231CA"/>
    <w:rsid w:val="00824153"/>
    <w:rsid w:val="00825BBD"/>
    <w:rsid w:val="0082755B"/>
    <w:rsid w:val="00827B15"/>
    <w:rsid w:val="00830BF7"/>
    <w:rsid w:val="008334E1"/>
    <w:rsid w:val="00833787"/>
    <w:rsid w:val="00833B67"/>
    <w:rsid w:val="008357E8"/>
    <w:rsid w:val="00835E52"/>
    <w:rsid w:val="008410C3"/>
    <w:rsid w:val="0084386C"/>
    <w:rsid w:val="00843DFD"/>
    <w:rsid w:val="00843FAF"/>
    <w:rsid w:val="00844F03"/>
    <w:rsid w:val="00846901"/>
    <w:rsid w:val="008504DB"/>
    <w:rsid w:val="008511A0"/>
    <w:rsid w:val="00851A8B"/>
    <w:rsid w:val="008523D3"/>
    <w:rsid w:val="008539B4"/>
    <w:rsid w:val="0085567B"/>
    <w:rsid w:val="008565FF"/>
    <w:rsid w:val="008570C2"/>
    <w:rsid w:val="00861378"/>
    <w:rsid w:val="00861B0D"/>
    <w:rsid w:val="00861FAE"/>
    <w:rsid w:val="008636A2"/>
    <w:rsid w:val="00864056"/>
    <w:rsid w:val="00864876"/>
    <w:rsid w:val="008649C9"/>
    <w:rsid w:val="00865367"/>
    <w:rsid w:val="008655F5"/>
    <w:rsid w:val="00874038"/>
    <w:rsid w:val="00874718"/>
    <w:rsid w:val="0087631C"/>
    <w:rsid w:val="008771BD"/>
    <w:rsid w:val="008816FD"/>
    <w:rsid w:val="00882C78"/>
    <w:rsid w:val="00887AB6"/>
    <w:rsid w:val="00892436"/>
    <w:rsid w:val="0089259F"/>
    <w:rsid w:val="00893675"/>
    <w:rsid w:val="008A07BF"/>
    <w:rsid w:val="008A3DAC"/>
    <w:rsid w:val="008A5076"/>
    <w:rsid w:val="008A54BA"/>
    <w:rsid w:val="008A6443"/>
    <w:rsid w:val="008A6529"/>
    <w:rsid w:val="008B21E3"/>
    <w:rsid w:val="008B4B49"/>
    <w:rsid w:val="008B560D"/>
    <w:rsid w:val="008B592D"/>
    <w:rsid w:val="008B59D9"/>
    <w:rsid w:val="008B5A86"/>
    <w:rsid w:val="008B7D78"/>
    <w:rsid w:val="008C00D7"/>
    <w:rsid w:val="008C1F1C"/>
    <w:rsid w:val="008D25F9"/>
    <w:rsid w:val="008D2B7C"/>
    <w:rsid w:val="008D2DB7"/>
    <w:rsid w:val="008D3273"/>
    <w:rsid w:val="008D3A5B"/>
    <w:rsid w:val="008D4343"/>
    <w:rsid w:val="008D680D"/>
    <w:rsid w:val="008D77B3"/>
    <w:rsid w:val="008D7AAC"/>
    <w:rsid w:val="008E000A"/>
    <w:rsid w:val="008E0562"/>
    <w:rsid w:val="008E12B6"/>
    <w:rsid w:val="008E3B94"/>
    <w:rsid w:val="008E6C9A"/>
    <w:rsid w:val="008E7E5B"/>
    <w:rsid w:val="008F182D"/>
    <w:rsid w:val="008F197E"/>
    <w:rsid w:val="008F455D"/>
    <w:rsid w:val="008F685A"/>
    <w:rsid w:val="008F69F4"/>
    <w:rsid w:val="00901AD6"/>
    <w:rsid w:val="00902A6E"/>
    <w:rsid w:val="00903012"/>
    <w:rsid w:val="00904FAD"/>
    <w:rsid w:val="00905725"/>
    <w:rsid w:val="00905727"/>
    <w:rsid w:val="009060A2"/>
    <w:rsid w:val="009064B9"/>
    <w:rsid w:val="009069F8"/>
    <w:rsid w:val="0091102D"/>
    <w:rsid w:val="00911557"/>
    <w:rsid w:val="009126A5"/>
    <w:rsid w:val="009161AE"/>
    <w:rsid w:val="00916ED0"/>
    <w:rsid w:val="0092099A"/>
    <w:rsid w:val="00920CD8"/>
    <w:rsid w:val="009220F4"/>
    <w:rsid w:val="00922A63"/>
    <w:rsid w:val="009238FA"/>
    <w:rsid w:val="00925557"/>
    <w:rsid w:val="0093494F"/>
    <w:rsid w:val="00934B18"/>
    <w:rsid w:val="00941EA3"/>
    <w:rsid w:val="0094296B"/>
    <w:rsid w:val="00945C2C"/>
    <w:rsid w:val="009505AF"/>
    <w:rsid w:val="009507B1"/>
    <w:rsid w:val="00952A4B"/>
    <w:rsid w:val="00953165"/>
    <w:rsid w:val="009555E8"/>
    <w:rsid w:val="0095626D"/>
    <w:rsid w:val="00957DF6"/>
    <w:rsid w:val="0096582F"/>
    <w:rsid w:val="009670D8"/>
    <w:rsid w:val="00967911"/>
    <w:rsid w:val="009708FF"/>
    <w:rsid w:val="009712F2"/>
    <w:rsid w:val="00971AC6"/>
    <w:rsid w:val="00972BA5"/>
    <w:rsid w:val="00973942"/>
    <w:rsid w:val="00974D9F"/>
    <w:rsid w:val="00975116"/>
    <w:rsid w:val="009754A2"/>
    <w:rsid w:val="009818D0"/>
    <w:rsid w:val="00981B70"/>
    <w:rsid w:val="0098328A"/>
    <w:rsid w:val="00983C9A"/>
    <w:rsid w:val="00983D47"/>
    <w:rsid w:val="00983D56"/>
    <w:rsid w:val="009841B6"/>
    <w:rsid w:val="0098572C"/>
    <w:rsid w:val="00986AF4"/>
    <w:rsid w:val="00986B21"/>
    <w:rsid w:val="00987808"/>
    <w:rsid w:val="009913E3"/>
    <w:rsid w:val="00992CDE"/>
    <w:rsid w:val="00992F04"/>
    <w:rsid w:val="00994A78"/>
    <w:rsid w:val="00995568"/>
    <w:rsid w:val="00995AF9"/>
    <w:rsid w:val="00995CED"/>
    <w:rsid w:val="00996CF1"/>
    <w:rsid w:val="0099762D"/>
    <w:rsid w:val="009A03F7"/>
    <w:rsid w:val="009A0C20"/>
    <w:rsid w:val="009A74F3"/>
    <w:rsid w:val="009A7D2C"/>
    <w:rsid w:val="009B0CFE"/>
    <w:rsid w:val="009B21E5"/>
    <w:rsid w:val="009B4066"/>
    <w:rsid w:val="009B42D0"/>
    <w:rsid w:val="009B4E8F"/>
    <w:rsid w:val="009C0664"/>
    <w:rsid w:val="009C06CA"/>
    <w:rsid w:val="009C0EDE"/>
    <w:rsid w:val="009C4334"/>
    <w:rsid w:val="009C4D30"/>
    <w:rsid w:val="009C79F8"/>
    <w:rsid w:val="009D0CE3"/>
    <w:rsid w:val="009D107A"/>
    <w:rsid w:val="009D2DE9"/>
    <w:rsid w:val="009D3CD4"/>
    <w:rsid w:val="009D4EDC"/>
    <w:rsid w:val="009D51ED"/>
    <w:rsid w:val="009D6201"/>
    <w:rsid w:val="009E2622"/>
    <w:rsid w:val="009E321A"/>
    <w:rsid w:val="009E58F3"/>
    <w:rsid w:val="009E664F"/>
    <w:rsid w:val="009E6C09"/>
    <w:rsid w:val="009E6C37"/>
    <w:rsid w:val="009F1AEC"/>
    <w:rsid w:val="009F3221"/>
    <w:rsid w:val="009F4B18"/>
    <w:rsid w:val="009F4C20"/>
    <w:rsid w:val="009F50A4"/>
    <w:rsid w:val="009F5B4D"/>
    <w:rsid w:val="009F6B8A"/>
    <w:rsid w:val="00A00071"/>
    <w:rsid w:val="00A00D55"/>
    <w:rsid w:val="00A0408D"/>
    <w:rsid w:val="00A04DE9"/>
    <w:rsid w:val="00A05980"/>
    <w:rsid w:val="00A060D3"/>
    <w:rsid w:val="00A10040"/>
    <w:rsid w:val="00A10D5B"/>
    <w:rsid w:val="00A113A5"/>
    <w:rsid w:val="00A13FC9"/>
    <w:rsid w:val="00A15A9E"/>
    <w:rsid w:val="00A20F00"/>
    <w:rsid w:val="00A24E19"/>
    <w:rsid w:val="00A2659E"/>
    <w:rsid w:val="00A27960"/>
    <w:rsid w:val="00A30905"/>
    <w:rsid w:val="00A31705"/>
    <w:rsid w:val="00A31B3C"/>
    <w:rsid w:val="00A325DA"/>
    <w:rsid w:val="00A3332E"/>
    <w:rsid w:val="00A33CD1"/>
    <w:rsid w:val="00A45384"/>
    <w:rsid w:val="00A50210"/>
    <w:rsid w:val="00A5068C"/>
    <w:rsid w:val="00A50F83"/>
    <w:rsid w:val="00A51B4A"/>
    <w:rsid w:val="00A51D21"/>
    <w:rsid w:val="00A51DDC"/>
    <w:rsid w:val="00A56162"/>
    <w:rsid w:val="00A574DB"/>
    <w:rsid w:val="00A625FB"/>
    <w:rsid w:val="00A6469D"/>
    <w:rsid w:val="00A6559F"/>
    <w:rsid w:val="00A66018"/>
    <w:rsid w:val="00A66AC4"/>
    <w:rsid w:val="00A70159"/>
    <w:rsid w:val="00A70407"/>
    <w:rsid w:val="00A71573"/>
    <w:rsid w:val="00A72169"/>
    <w:rsid w:val="00A72D17"/>
    <w:rsid w:val="00A74246"/>
    <w:rsid w:val="00A751B8"/>
    <w:rsid w:val="00A76BE3"/>
    <w:rsid w:val="00A77488"/>
    <w:rsid w:val="00A775AC"/>
    <w:rsid w:val="00A7791C"/>
    <w:rsid w:val="00A80783"/>
    <w:rsid w:val="00A81C5D"/>
    <w:rsid w:val="00A8208F"/>
    <w:rsid w:val="00A85998"/>
    <w:rsid w:val="00A86523"/>
    <w:rsid w:val="00A86543"/>
    <w:rsid w:val="00A94464"/>
    <w:rsid w:val="00A951EC"/>
    <w:rsid w:val="00A97F14"/>
    <w:rsid w:val="00AA0138"/>
    <w:rsid w:val="00AA04E1"/>
    <w:rsid w:val="00AA21CE"/>
    <w:rsid w:val="00AA560E"/>
    <w:rsid w:val="00AA586B"/>
    <w:rsid w:val="00AA5C19"/>
    <w:rsid w:val="00AA5E2C"/>
    <w:rsid w:val="00AA5F4F"/>
    <w:rsid w:val="00AA70F5"/>
    <w:rsid w:val="00AA729F"/>
    <w:rsid w:val="00AB1D71"/>
    <w:rsid w:val="00AB2DFF"/>
    <w:rsid w:val="00AB2F6D"/>
    <w:rsid w:val="00AB3DA0"/>
    <w:rsid w:val="00AB735A"/>
    <w:rsid w:val="00AC0E4A"/>
    <w:rsid w:val="00AC15AF"/>
    <w:rsid w:val="00AC1A7C"/>
    <w:rsid w:val="00AC2701"/>
    <w:rsid w:val="00AC390A"/>
    <w:rsid w:val="00AC5CDB"/>
    <w:rsid w:val="00AC62F0"/>
    <w:rsid w:val="00AD0BCE"/>
    <w:rsid w:val="00AD34A8"/>
    <w:rsid w:val="00AD35F4"/>
    <w:rsid w:val="00AD36EE"/>
    <w:rsid w:val="00AD430A"/>
    <w:rsid w:val="00AD4C6D"/>
    <w:rsid w:val="00AE0CCC"/>
    <w:rsid w:val="00AE1167"/>
    <w:rsid w:val="00AE1E60"/>
    <w:rsid w:val="00AE426F"/>
    <w:rsid w:val="00AF07E0"/>
    <w:rsid w:val="00AF1C06"/>
    <w:rsid w:val="00AF2FF1"/>
    <w:rsid w:val="00AF31ED"/>
    <w:rsid w:val="00AF3260"/>
    <w:rsid w:val="00AF783B"/>
    <w:rsid w:val="00AF796F"/>
    <w:rsid w:val="00B01E6D"/>
    <w:rsid w:val="00B0202B"/>
    <w:rsid w:val="00B04717"/>
    <w:rsid w:val="00B05D15"/>
    <w:rsid w:val="00B07469"/>
    <w:rsid w:val="00B14793"/>
    <w:rsid w:val="00B14B3D"/>
    <w:rsid w:val="00B14B8A"/>
    <w:rsid w:val="00B14BFF"/>
    <w:rsid w:val="00B17643"/>
    <w:rsid w:val="00B204B0"/>
    <w:rsid w:val="00B212A9"/>
    <w:rsid w:val="00B222EB"/>
    <w:rsid w:val="00B22B82"/>
    <w:rsid w:val="00B235C9"/>
    <w:rsid w:val="00B30431"/>
    <w:rsid w:val="00B360DD"/>
    <w:rsid w:val="00B364DA"/>
    <w:rsid w:val="00B36FE6"/>
    <w:rsid w:val="00B45E9E"/>
    <w:rsid w:val="00B47D2E"/>
    <w:rsid w:val="00B5000D"/>
    <w:rsid w:val="00B500E3"/>
    <w:rsid w:val="00B51BE3"/>
    <w:rsid w:val="00B5719C"/>
    <w:rsid w:val="00B60791"/>
    <w:rsid w:val="00B618D2"/>
    <w:rsid w:val="00B624EE"/>
    <w:rsid w:val="00B63AF1"/>
    <w:rsid w:val="00B657F9"/>
    <w:rsid w:val="00B70A8C"/>
    <w:rsid w:val="00B716C9"/>
    <w:rsid w:val="00B71731"/>
    <w:rsid w:val="00B71C7C"/>
    <w:rsid w:val="00B72B48"/>
    <w:rsid w:val="00B73063"/>
    <w:rsid w:val="00B7627D"/>
    <w:rsid w:val="00B81E8B"/>
    <w:rsid w:val="00B82AB4"/>
    <w:rsid w:val="00B82E38"/>
    <w:rsid w:val="00B83045"/>
    <w:rsid w:val="00B8351B"/>
    <w:rsid w:val="00B908F2"/>
    <w:rsid w:val="00B91E8F"/>
    <w:rsid w:val="00B93A1E"/>
    <w:rsid w:val="00B96346"/>
    <w:rsid w:val="00B97C48"/>
    <w:rsid w:val="00BA1E84"/>
    <w:rsid w:val="00BA2111"/>
    <w:rsid w:val="00BA4154"/>
    <w:rsid w:val="00BA5D35"/>
    <w:rsid w:val="00BA6DA0"/>
    <w:rsid w:val="00BB11A0"/>
    <w:rsid w:val="00BB1234"/>
    <w:rsid w:val="00BB2BDB"/>
    <w:rsid w:val="00BB3BBA"/>
    <w:rsid w:val="00BB41D1"/>
    <w:rsid w:val="00BB441C"/>
    <w:rsid w:val="00BB674D"/>
    <w:rsid w:val="00BB7C41"/>
    <w:rsid w:val="00BC0DC2"/>
    <w:rsid w:val="00BC2486"/>
    <w:rsid w:val="00BC34A2"/>
    <w:rsid w:val="00BC39D1"/>
    <w:rsid w:val="00BC3CD3"/>
    <w:rsid w:val="00BC54F1"/>
    <w:rsid w:val="00BC5CC7"/>
    <w:rsid w:val="00BD0493"/>
    <w:rsid w:val="00BD0A0E"/>
    <w:rsid w:val="00BD3AE9"/>
    <w:rsid w:val="00BD7368"/>
    <w:rsid w:val="00BD7A68"/>
    <w:rsid w:val="00BD7EAB"/>
    <w:rsid w:val="00BE19C9"/>
    <w:rsid w:val="00BE1F1A"/>
    <w:rsid w:val="00BE240B"/>
    <w:rsid w:val="00BE2F12"/>
    <w:rsid w:val="00BE318B"/>
    <w:rsid w:val="00BE34B1"/>
    <w:rsid w:val="00BE44ED"/>
    <w:rsid w:val="00BE5274"/>
    <w:rsid w:val="00BE5A05"/>
    <w:rsid w:val="00BF0973"/>
    <w:rsid w:val="00BF6018"/>
    <w:rsid w:val="00BF6416"/>
    <w:rsid w:val="00BF7EB8"/>
    <w:rsid w:val="00C03541"/>
    <w:rsid w:val="00C04350"/>
    <w:rsid w:val="00C05B4F"/>
    <w:rsid w:val="00C06C13"/>
    <w:rsid w:val="00C06D84"/>
    <w:rsid w:val="00C16FD9"/>
    <w:rsid w:val="00C2019B"/>
    <w:rsid w:val="00C20AE2"/>
    <w:rsid w:val="00C27616"/>
    <w:rsid w:val="00C31821"/>
    <w:rsid w:val="00C31E8E"/>
    <w:rsid w:val="00C31F1F"/>
    <w:rsid w:val="00C34688"/>
    <w:rsid w:val="00C34F11"/>
    <w:rsid w:val="00C35622"/>
    <w:rsid w:val="00C3578A"/>
    <w:rsid w:val="00C36A66"/>
    <w:rsid w:val="00C40BBD"/>
    <w:rsid w:val="00C40D9C"/>
    <w:rsid w:val="00C41805"/>
    <w:rsid w:val="00C458A6"/>
    <w:rsid w:val="00C46533"/>
    <w:rsid w:val="00C4781B"/>
    <w:rsid w:val="00C5225A"/>
    <w:rsid w:val="00C5341D"/>
    <w:rsid w:val="00C54887"/>
    <w:rsid w:val="00C600B6"/>
    <w:rsid w:val="00C618C1"/>
    <w:rsid w:val="00C61B21"/>
    <w:rsid w:val="00C6321B"/>
    <w:rsid w:val="00C636F2"/>
    <w:rsid w:val="00C667AD"/>
    <w:rsid w:val="00C67E04"/>
    <w:rsid w:val="00C72DF8"/>
    <w:rsid w:val="00C73AF3"/>
    <w:rsid w:val="00C757BC"/>
    <w:rsid w:val="00C75A19"/>
    <w:rsid w:val="00C75A56"/>
    <w:rsid w:val="00C75F05"/>
    <w:rsid w:val="00C7642F"/>
    <w:rsid w:val="00C810E8"/>
    <w:rsid w:val="00C81CF4"/>
    <w:rsid w:val="00C821CC"/>
    <w:rsid w:val="00C83623"/>
    <w:rsid w:val="00C84357"/>
    <w:rsid w:val="00C85B55"/>
    <w:rsid w:val="00C85E19"/>
    <w:rsid w:val="00C90EF6"/>
    <w:rsid w:val="00C91AA2"/>
    <w:rsid w:val="00C92B15"/>
    <w:rsid w:val="00C94FDB"/>
    <w:rsid w:val="00C97FB7"/>
    <w:rsid w:val="00CA0175"/>
    <w:rsid w:val="00CA26CC"/>
    <w:rsid w:val="00CA2CF5"/>
    <w:rsid w:val="00CA481B"/>
    <w:rsid w:val="00CA5C50"/>
    <w:rsid w:val="00CA66E3"/>
    <w:rsid w:val="00CB0F4C"/>
    <w:rsid w:val="00CB0F66"/>
    <w:rsid w:val="00CB1BDE"/>
    <w:rsid w:val="00CB30ED"/>
    <w:rsid w:val="00CB3CD5"/>
    <w:rsid w:val="00CB5F16"/>
    <w:rsid w:val="00CB6015"/>
    <w:rsid w:val="00CC1AA5"/>
    <w:rsid w:val="00CC2333"/>
    <w:rsid w:val="00CC3D5B"/>
    <w:rsid w:val="00CC56F4"/>
    <w:rsid w:val="00CC578D"/>
    <w:rsid w:val="00CC5D68"/>
    <w:rsid w:val="00CD0440"/>
    <w:rsid w:val="00CD1231"/>
    <w:rsid w:val="00CD1AA9"/>
    <w:rsid w:val="00CD4323"/>
    <w:rsid w:val="00CD4E4F"/>
    <w:rsid w:val="00CD56A0"/>
    <w:rsid w:val="00CD585D"/>
    <w:rsid w:val="00CD5926"/>
    <w:rsid w:val="00CD5C59"/>
    <w:rsid w:val="00CD6140"/>
    <w:rsid w:val="00CD764D"/>
    <w:rsid w:val="00CE2652"/>
    <w:rsid w:val="00CE3EEE"/>
    <w:rsid w:val="00CE45C6"/>
    <w:rsid w:val="00CE620F"/>
    <w:rsid w:val="00CE75D1"/>
    <w:rsid w:val="00CF0969"/>
    <w:rsid w:val="00CF29AE"/>
    <w:rsid w:val="00CF3D41"/>
    <w:rsid w:val="00CF3FCA"/>
    <w:rsid w:val="00CF4FA1"/>
    <w:rsid w:val="00CF53B5"/>
    <w:rsid w:val="00CF68B0"/>
    <w:rsid w:val="00CF7FD1"/>
    <w:rsid w:val="00D0128D"/>
    <w:rsid w:val="00D0149C"/>
    <w:rsid w:val="00D02404"/>
    <w:rsid w:val="00D02D1E"/>
    <w:rsid w:val="00D03A85"/>
    <w:rsid w:val="00D03F7E"/>
    <w:rsid w:val="00D04428"/>
    <w:rsid w:val="00D0501F"/>
    <w:rsid w:val="00D05033"/>
    <w:rsid w:val="00D05057"/>
    <w:rsid w:val="00D057BD"/>
    <w:rsid w:val="00D0679C"/>
    <w:rsid w:val="00D11757"/>
    <w:rsid w:val="00D11D70"/>
    <w:rsid w:val="00D12BB8"/>
    <w:rsid w:val="00D133D7"/>
    <w:rsid w:val="00D15911"/>
    <w:rsid w:val="00D159E3"/>
    <w:rsid w:val="00D1641B"/>
    <w:rsid w:val="00D20DA3"/>
    <w:rsid w:val="00D2166B"/>
    <w:rsid w:val="00D217C3"/>
    <w:rsid w:val="00D222B8"/>
    <w:rsid w:val="00D2282B"/>
    <w:rsid w:val="00D22DFE"/>
    <w:rsid w:val="00D25769"/>
    <w:rsid w:val="00D26C22"/>
    <w:rsid w:val="00D30622"/>
    <w:rsid w:val="00D33D96"/>
    <w:rsid w:val="00D3490D"/>
    <w:rsid w:val="00D35B55"/>
    <w:rsid w:val="00D42C58"/>
    <w:rsid w:val="00D445E4"/>
    <w:rsid w:val="00D44963"/>
    <w:rsid w:val="00D45B5A"/>
    <w:rsid w:val="00D46EA3"/>
    <w:rsid w:val="00D474BC"/>
    <w:rsid w:val="00D51BC1"/>
    <w:rsid w:val="00D524DC"/>
    <w:rsid w:val="00D54D36"/>
    <w:rsid w:val="00D54E7B"/>
    <w:rsid w:val="00D573FE"/>
    <w:rsid w:val="00D57C3B"/>
    <w:rsid w:val="00D6661D"/>
    <w:rsid w:val="00D7215D"/>
    <w:rsid w:val="00D733B7"/>
    <w:rsid w:val="00D738C0"/>
    <w:rsid w:val="00D81C56"/>
    <w:rsid w:val="00D81E29"/>
    <w:rsid w:val="00D8354D"/>
    <w:rsid w:val="00D83877"/>
    <w:rsid w:val="00D83CBA"/>
    <w:rsid w:val="00D85FB5"/>
    <w:rsid w:val="00D909B0"/>
    <w:rsid w:val="00D91FBB"/>
    <w:rsid w:val="00D9309B"/>
    <w:rsid w:val="00D95CDB"/>
    <w:rsid w:val="00D96C76"/>
    <w:rsid w:val="00D96E07"/>
    <w:rsid w:val="00D976BC"/>
    <w:rsid w:val="00D97EB7"/>
    <w:rsid w:val="00DA3702"/>
    <w:rsid w:val="00DA511B"/>
    <w:rsid w:val="00DA5513"/>
    <w:rsid w:val="00DA7CAB"/>
    <w:rsid w:val="00DB1D1B"/>
    <w:rsid w:val="00DB3E99"/>
    <w:rsid w:val="00DB738A"/>
    <w:rsid w:val="00DB75F8"/>
    <w:rsid w:val="00DC30E7"/>
    <w:rsid w:val="00DC373D"/>
    <w:rsid w:val="00DC4954"/>
    <w:rsid w:val="00DC4CFC"/>
    <w:rsid w:val="00DC4E9A"/>
    <w:rsid w:val="00DC7011"/>
    <w:rsid w:val="00DC757D"/>
    <w:rsid w:val="00DD02CB"/>
    <w:rsid w:val="00DD20CB"/>
    <w:rsid w:val="00DD36AE"/>
    <w:rsid w:val="00DE06A5"/>
    <w:rsid w:val="00DE0FAE"/>
    <w:rsid w:val="00DE161B"/>
    <w:rsid w:val="00DE2F06"/>
    <w:rsid w:val="00DE7AAD"/>
    <w:rsid w:val="00DF20C5"/>
    <w:rsid w:val="00DF2412"/>
    <w:rsid w:val="00DF2BEB"/>
    <w:rsid w:val="00DF3772"/>
    <w:rsid w:val="00DF73EF"/>
    <w:rsid w:val="00DF771E"/>
    <w:rsid w:val="00DF786B"/>
    <w:rsid w:val="00DF7BA0"/>
    <w:rsid w:val="00E01044"/>
    <w:rsid w:val="00E0124B"/>
    <w:rsid w:val="00E046ED"/>
    <w:rsid w:val="00E05148"/>
    <w:rsid w:val="00E05C90"/>
    <w:rsid w:val="00E064AA"/>
    <w:rsid w:val="00E06627"/>
    <w:rsid w:val="00E131CC"/>
    <w:rsid w:val="00E134D4"/>
    <w:rsid w:val="00E13B8F"/>
    <w:rsid w:val="00E14534"/>
    <w:rsid w:val="00E20043"/>
    <w:rsid w:val="00E20B36"/>
    <w:rsid w:val="00E2294E"/>
    <w:rsid w:val="00E231BC"/>
    <w:rsid w:val="00E2324A"/>
    <w:rsid w:val="00E23A3A"/>
    <w:rsid w:val="00E2562E"/>
    <w:rsid w:val="00E261F3"/>
    <w:rsid w:val="00E30934"/>
    <w:rsid w:val="00E318D3"/>
    <w:rsid w:val="00E32171"/>
    <w:rsid w:val="00E32B93"/>
    <w:rsid w:val="00E33530"/>
    <w:rsid w:val="00E33C4C"/>
    <w:rsid w:val="00E33E5E"/>
    <w:rsid w:val="00E35FB3"/>
    <w:rsid w:val="00E361CF"/>
    <w:rsid w:val="00E37366"/>
    <w:rsid w:val="00E41E54"/>
    <w:rsid w:val="00E440F2"/>
    <w:rsid w:val="00E4481F"/>
    <w:rsid w:val="00E45C34"/>
    <w:rsid w:val="00E46707"/>
    <w:rsid w:val="00E47E55"/>
    <w:rsid w:val="00E50DF8"/>
    <w:rsid w:val="00E51A9F"/>
    <w:rsid w:val="00E51FEC"/>
    <w:rsid w:val="00E5471A"/>
    <w:rsid w:val="00E54779"/>
    <w:rsid w:val="00E54CE8"/>
    <w:rsid w:val="00E55606"/>
    <w:rsid w:val="00E57E43"/>
    <w:rsid w:val="00E60413"/>
    <w:rsid w:val="00E67251"/>
    <w:rsid w:val="00E70139"/>
    <w:rsid w:val="00E71451"/>
    <w:rsid w:val="00E731C5"/>
    <w:rsid w:val="00E77D52"/>
    <w:rsid w:val="00E77EEB"/>
    <w:rsid w:val="00E90CED"/>
    <w:rsid w:val="00E951E9"/>
    <w:rsid w:val="00E958E2"/>
    <w:rsid w:val="00E9725D"/>
    <w:rsid w:val="00EA073F"/>
    <w:rsid w:val="00EA1C13"/>
    <w:rsid w:val="00EA22BD"/>
    <w:rsid w:val="00EA39BC"/>
    <w:rsid w:val="00EA4C2B"/>
    <w:rsid w:val="00EA4ED5"/>
    <w:rsid w:val="00EA65F1"/>
    <w:rsid w:val="00EA6D41"/>
    <w:rsid w:val="00EA7544"/>
    <w:rsid w:val="00EB13E5"/>
    <w:rsid w:val="00EB3D86"/>
    <w:rsid w:val="00EB42C3"/>
    <w:rsid w:val="00EB4A66"/>
    <w:rsid w:val="00EB4EC4"/>
    <w:rsid w:val="00EB5773"/>
    <w:rsid w:val="00EB7B36"/>
    <w:rsid w:val="00EC064D"/>
    <w:rsid w:val="00EC37B1"/>
    <w:rsid w:val="00EC40EE"/>
    <w:rsid w:val="00EC50D4"/>
    <w:rsid w:val="00EC5D57"/>
    <w:rsid w:val="00EC6F9F"/>
    <w:rsid w:val="00ED06AF"/>
    <w:rsid w:val="00ED0CB4"/>
    <w:rsid w:val="00ED2E7A"/>
    <w:rsid w:val="00ED323A"/>
    <w:rsid w:val="00ED3655"/>
    <w:rsid w:val="00ED6A65"/>
    <w:rsid w:val="00ED7506"/>
    <w:rsid w:val="00ED7F55"/>
    <w:rsid w:val="00EE23F5"/>
    <w:rsid w:val="00EE2C82"/>
    <w:rsid w:val="00EE359E"/>
    <w:rsid w:val="00EE475E"/>
    <w:rsid w:val="00EE49DE"/>
    <w:rsid w:val="00EE6A91"/>
    <w:rsid w:val="00EF0BD2"/>
    <w:rsid w:val="00EF2131"/>
    <w:rsid w:val="00EF39A8"/>
    <w:rsid w:val="00EF3CCA"/>
    <w:rsid w:val="00EF5419"/>
    <w:rsid w:val="00EF55DD"/>
    <w:rsid w:val="00EF5AC1"/>
    <w:rsid w:val="00F00B6C"/>
    <w:rsid w:val="00F021D3"/>
    <w:rsid w:val="00F03C9C"/>
    <w:rsid w:val="00F04393"/>
    <w:rsid w:val="00F0466E"/>
    <w:rsid w:val="00F051DB"/>
    <w:rsid w:val="00F058A1"/>
    <w:rsid w:val="00F0672A"/>
    <w:rsid w:val="00F06EB6"/>
    <w:rsid w:val="00F1161F"/>
    <w:rsid w:val="00F12B0F"/>
    <w:rsid w:val="00F15DE0"/>
    <w:rsid w:val="00F17F98"/>
    <w:rsid w:val="00F20FA6"/>
    <w:rsid w:val="00F2216F"/>
    <w:rsid w:val="00F22E26"/>
    <w:rsid w:val="00F25CE1"/>
    <w:rsid w:val="00F26E4C"/>
    <w:rsid w:val="00F27F32"/>
    <w:rsid w:val="00F305C4"/>
    <w:rsid w:val="00F30E31"/>
    <w:rsid w:val="00F31F3B"/>
    <w:rsid w:val="00F3228C"/>
    <w:rsid w:val="00F32A1B"/>
    <w:rsid w:val="00F33948"/>
    <w:rsid w:val="00F33B3B"/>
    <w:rsid w:val="00F4068E"/>
    <w:rsid w:val="00F40FF2"/>
    <w:rsid w:val="00F41C64"/>
    <w:rsid w:val="00F429D6"/>
    <w:rsid w:val="00F4308B"/>
    <w:rsid w:val="00F43326"/>
    <w:rsid w:val="00F44328"/>
    <w:rsid w:val="00F44CCF"/>
    <w:rsid w:val="00F45096"/>
    <w:rsid w:val="00F45572"/>
    <w:rsid w:val="00F4598E"/>
    <w:rsid w:val="00F46D97"/>
    <w:rsid w:val="00F51C8D"/>
    <w:rsid w:val="00F52150"/>
    <w:rsid w:val="00F52BE0"/>
    <w:rsid w:val="00F54749"/>
    <w:rsid w:val="00F56BA3"/>
    <w:rsid w:val="00F56BE5"/>
    <w:rsid w:val="00F56F0E"/>
    <w:rsid w:val="00F6010F"/>
    <w:rsid w:val="00F6086D"/>
    <w:rsid w:val="00F618DA"/>
    <w:rsid w:val="00F61A2E"/>
    <w:rsid w:val="00F6341C"/>
    <w:rsid w:val="00F63EF2"/>
    <w:rsid w:val="00F64D29"/>
    <w:rsid w:val="00F64F0A"/>
    <w:rsid w:val="00F672F3"/>
    <w:rsid w:val="00F713E7"/>
    <w:rsid w:val="00F71C5C"/>
    <w:rsid w:val="00F73652"/>
    <w:rsid w:val="00F7563B"/>
    <w:rsid w:val="00F76477"/>
    <w:rsid w:val="00F84320"/>
    <w:rsid w:val="00F867A7"/>
    <w:rsid w:val="00F86AA1"/>
    <w:rsid w:val="00F935B8"/>
    <w:rsid w:val="00F93B1B"/>
    <w:rsid w:val="00F9417B"/>
    <w:rsid w:val="00F94461"/>
    <w:rsid w:val="00FA1AA8"/>
    <w:rsid w:val="00FA33A0"/>
    <w:rsid w:val="00FB21FA"/>
    <w:rsid w:val="00FB2258"/>
    <w:rsid w:val="00FB3390"/>
    <w:rsid w:val="00FB5BD9"/>
    <w:rsid w:val="00FB7BB4"/>
    <w:rsid w:val="00FC02D6"/>
    <w:rsid w:val="00FC2772"/>
    <w:rsid w:val="00FC2C8F"/>
    <w:rsid w:val="00FC34C7"/>
    <w:rsid w:val="00FC3666"/>
    <w:rsid w:val="00FC3CA7"/>
    <w:rsid w:val="00FC671B"/>
    <w:rsid w:val="00FC6CAF"/>
    <w:rsid w:val="00FC73E5"/>
    <w:rsid w:val="00FD0D2F"/>
    <w:rsid w:val="00FD1896"/>
    <w:rsid w:val="00FD1D18"/>
    <w:rsid w:val="00FD2EAD"/>
    <w:rsid w:val="00FD3BBE"/>
    <w:rsid w:val="00FD5FFE"/>
    <w:rsid w:val="00FD60F1"/>
    <w:rsid w:val="00FE45DC"/>
    <w:rsid w:val="00FE497B"/>
    <w:rsid w:val="00FE57BC"/>
    <w:rsid w:val="00FE6A45"/>
    <w:rsid w:val="00FE6ADB"/>
    <w:rsid w:val="00FF2701"/>
    <w:rsid w:val="00FF5107"/>
    <w:rsid w:val="00FF51AF"/>
    <w:rsid w:val="00FF601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3A43"/>
  <w15:chartTrackingRefBased/>
  <w15:docId w15:val="{47878071-9BEB-0348-A94A-B1B54F52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B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9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9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9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9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9B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9B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9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E29B9"/>
    <w:rPr>
      <w:color w:val="0000FF"/>
      <w:u w:val="single"/>
    </w:rPr>
  </w:style>
  <w:style w:type="character" w:styleId="CommentReference">
    <w:name w:val="annotation reference"/>
    <w:rsid w:val="002E2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9B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ICBAbold">
    <w:name w:val="ICBA bold"/>
    <w:rsid w:val="002E29B9"/>
    <w:rPr>
      <w:b/>
    </w:rPr>
  </w:style>
  <w:style w:type="paragraph" w:styleId="Header">
    <w:name w:val="header"/>
    <w:basedOn w:val="Normal"/>
    <w:link w:val="HeaderChar"/>
    <w:uiPriority w:val="99"/>
    <w:unhideWhenUsed/>
    <w:rsid w:val="00BC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86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43ED6"/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D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.org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eber@icbasecuri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C213B-81F8-9841-BBF5-B00A8A2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Bennett</dc:creator>
  <cp:keywords/>
  <dc:description/>
  <cp:lastModifiedBy>Tarra Willox</cp:lastModifiedBy>
  <cp:revision>7</cp:revision>
  <dcterms:created xsi:type="dcterms:W3CDTF">2024-06-21T16:34:00Z</dcterms:created>
  <dcterms:modified xsi:type="dcterms:W3CDTF">2024-07-22T13:36:00Z</dcterms:modified>
</cp:coreProperties>
</file>