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5665" w14:textId="77777777" w:rsidR="00E55A42" w:rsidRPr="005E71B0" w:rsidRDefault="00E55A42" w:rsidP="00915594">
      <w:pPr>
        <w:tabs>
          <w:tab w:val="left" w:pos="540"/>
          <w:tab w:val="left" w:pos="2550"/>
        </w:tabs>
        <w:spacing w:after="0" w:line="276" w:lineRule="auto"/>
        <w:rPr>
          <w:rStyle w:val="ICBAbold"/>
        </w:rPr>
      </w:pPr>
      <w:r w:rsidRPr="005E71B0">
        <w:rPr>
          <w:rStyle w:val="ICBAbold"/>
        </w:rPr>
        <w:t>Independent Banker</w:t>
      </w:r>
    </w:p>
    <w:p w14:paraId="4E213C41" w14:textId="1BF69623" w:rsidR="00E55A42" w:rsidRPr="005E71B0" w:rsidRDefault="00E55A42" w:rsidP="00915594">
      <w:pPr>
        <w:tabs>
          <w:tab w:val="left" w:pos="540"/>
          <w:tab w:val="left" w:pos="2550"/>
        </w:tabs>
        <w:spacing w:after="0" w:line="276" w:lineRule="auto"/>
        <w:rPr>
          <w:rStyle w:val="ICBAbold"/>
        </w:rPr>
      </w:pPr>
      <w:r w:rsidRPr="005E71B0">
        <w:rPr>
          <w:rStyle w:val="ICBAbold"/>
        </w:rPr>
        <w:t>Ju</w:t>
      </w:r>
      <w:r>
        <w:rPr>
          <w:rStyle w:val="ICBAbold"/>
        </w:rPr>
        <w:t xml:space="preserve">ly </w:t>
      </w:r>
      <w:r w:rsidRPr="005E71B0">
        <w:rPr>
          <w:rStyle w:val="ICBAbold"/>
        </w:rPr>
        <w:t>2024</w:t>
      </w:r>
    </w:p>
    <w:p w14:paraId="6C11621A" w14:textId="77777777" w:rsidR="00E55A42" w:rsidRPr="005E71B0" w:rsidRDefault="00E55A42" w:rsidP="00E55A42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5E71B0">
        <w:rPr>
          <w:rStyle w:val="ICBAbold"/>
          <w:bCs/>
        </w:rPr>
        <w:t xml:space="preserve">Portfolio </w:t>
      </w:r>
    </w:p>
    <w:p w14:paraId="71ED6D23" w14:textId="77777777" w:rsidR="00E55A42" w:rsidRPr="005E71B0" w:rsidRDefault="00E55A42" w:rsidP="00E55A42">
      <w:pPr>
        <w:tabs>
          <w:tab w:val="left" w:pos="540"/>
          <w:tab w:val="left" w:pos="2550"/>
        </w:tabs>
        <w:spacing w:after="240" w:line="276" w:lineRule="auto"/>
        <w:rPr>
          <w:rStyle w:val="ICBAbold"/>
          <w:bCs/>
        </w:rPr>
      </w:pPr>
      <w:r w:rsidRPr="005E71B0">
        <w:rPr>
          <w:rStyle w:val="ICBAbold"/>
          <w:color w:val="FF0000"/>
        </w:rPr>
        <w:t xml:space="preserve">[tag] </w:t>
      </w:r>
      <w:r w:rsidRPr="005E71B0">
        <w:rPr>
          <w:rStyle w:val="ICBAbold"/>
          <w:bCs/>
        </w:rPr>
        <w:t>Portfolio Management</w:t>
      </w:r>
    </w:p>
    <w:p w14:paraId="1FB9BC7E" w14:textId="5D151541" w:rsidR="0030279F" w:rsidRPr="00915594" w:rsidRDefault="00E55A42" w:rsidP="00915594">
      <w:pPr>
        <w:pStyle w:val="NoSpacing"/>
        <w:spacing w:after="240" w:line="276" w:lineRule="auto"/>
        <w:rPr>
          <w:bCs/>
        </w:rPr>
      </w:pPr>
      <w:r>
        <w:rPr>
          <w:bCs/>
        </w:rPr>
        <w:t>[</w:t>
      </w:r>
      <w:proofErr w:type="spellStart"/>
      <w:r>
        <w:rPr>
          <w:bCs/>
        </w:rPr>
        <w:t>hed</w:t>
      </w:r>
      <w:proofErr w:type="spellEnd"/>
      <w:r>
        <w:rPr>
          <w:bCs/>
        </w:rPr>
        <w:t xml:space="preserve">] </w:t>
      </w:r>
      <w:r w:rsidR="0030279F" w:rsidRPr="00915594">
        <w:rPr>
          <w:bCs/>
        </w:rPr>
        <w:t xml:space="preserve">Are </w:t>
      </w:r>
      <w:r>
        <w:rPr>
          <w:bCs/>
        </w:rPr>
        <w:t>w</w:t>
      </w:r>
      <w:r w:rsidR="0030279F" w:rsidRPr="00915594">
        <w:rPr>
          <w:bCs/>
        </w:rPr>
        <w:t xml:space="preserve">e </w:t>
      </w:r>
      <w:r>
        <w:rPr>
          <w:bCs/>
        </w:rPr>
        <w:t>t</w:t>
      </w:r>
      <w:r w:rsidR="0030279F" w:rsidRPr="00915594">
        <w:rPr>
          <w:bCs/>
        </w:rPr>
        <w:t xml:space="preserve">here </w:t>
      </w:r>
      <w:r>
        <w:rPr>
          <w:bCs/>
        </w:rPr>
        <w:t>y</w:t>
      </w:r>
      <w:r w:rsidR="0030279F" w:rsidRPr="00915594">
        <w:rPr>
          <w:bCs/>
        </w:rPr>
        <w:t>et?</w:t>
      </w:r>
    </w:p>
    <w:p w14:paraId="5ECEEDCC" w14:textId="055DD9B5" w:rsidR="00E55A42" w:rsidRDefault="00E55A42" w:rsidP="00915594">
      <w:pPr>
        <w:pStyle w:val="NoSpacing"/>
        <w:spacing w:after="240" w:line="276" w:lineRule="auto"/>
        <w:rPr>
          <w:bCs/>
        </w:rPr>
      </w:pPr>
      <w:r>
        <w:rPr>
          <w:bCs/>
        </w:rPr>
        <w:t>[</w:t>
      </w:r>
      <w:proofErr w:type="spellStart"/>
      <w:r>
        <w:rPr>
          <w:bCs/>
        </w:rPr>
        <w:t>dek</w:t>
      </w:r>
      <w:proofErr w:type="spellEnd"/>
      <w:r>
        <w:rPr>
          <w:bCs/>
        </w:rPr>
        <w:t xml:space="preserve">] </w:t>
      </w:r>
      <w:r w:rsidR="004D585F">
        <w:rPr>
          <w:bCs/>
        </w:rPr>
        <w:t xml:space="preserve">Take a look </w:t>
      </w:r>
      <w:r w:rsidR="00007530">
        <w:rPr>
          <w:bCs/>
        </w:rPr>
        <w:t>at</w:t>
      </w:r>
      <w:r w:rsidR="004D585F">
        <w:rPr>
          <w:bCs/>
        </w:rPr>
        <w:t xml:space="preserve"> t</w:t>
      </w:r>
      <w:r w:rsidR="00CF42F9" w:rsidRPr="00915594">
        <w:rPr>
          <w:bCs/>
        </w:rPr>
        <w:t xml:space="preserve">he </w:t>
      </w:r>
      <w:r w:rsidR="004D585F">
        <w:rPr>
          <w:bCs/>
        </w:rPr>
        <w:t>n</w:t>
      </w:r>
      <w:r w:rsidR="00CF42F9" w:rsidRPr="00915594">
        <w:rPr>
          <w:bCs/>
        </w:rPr>
        <w:t xml:space="preserve">agging </w:t>
      </w:r>
      <w:r w:rsidR="004D585F">
        <w:rPr>
          <w:bCs/>
        </w:rPr>
        <w:t>p</w:t>
      </w:r>
      <w:r w:rsidR="00CF42F9" w:rsidRPr="00915594">
        <w:rPr>
          <w:bCs/>
        </w:rPr>
        <w:t xml:space="preserve">ersistence of </w:t>
      </w:r>
      <w:r w:rsidR="004D585F">
        <w:rPr>
          <w:bCs/>
        </w:rPr>
        <w:t>p</w:t>
      </w:r>
      <w:r w:rsidR="00CF42F9" w:rsidRPr="00915594">
        <w:rPr>
          <w:bCs/>
        </w:rPr>
        <w:t xml:space="preserve">ortfolio </w:t>
      </w:r>
      <w:r w:rsidR="004D585F">
        <w:rPr>
          <w:bCs/>
        </w:rPr>
        <w:t>m</w:t>
      </w:r>
      <w:r w:rsidR="00CF42F9" w:rsidRPr="00915594">
        <w:rPr>
          <w:bCs/>
        </w:rPr>
        <w:t>ark-to-</w:t>
      </w:r>
      <w:r w:rsidR="004D585F">
        <w:rPr>
          <w:bCs/>
        </w:rPr>
        <w:t>m</w:t>
      </w:r>
      <w:r w:rsidR="00CF42F9" w:rsidRPr="00915594">
        <w:rPr>
          <w:bCs/>
        </w:rPr>
        <w:t>arket</w:t>
      </w:r>
      <w:r w:rsidR="004D585F">
        <w:rPr>
          <w:bCs/>
        </w:rPr>
        <w:t>.</w:t>
      </w:r>
    </w:p>
    <w:p w14:paraId="6816D893" w14:textId="65F44279" w:rsidR="00152CE4" w:rsidRPr="00915594" w:rsidRDefault="00E55A42" w:rsidP="00915594">
      <w:pPr>
        <w:pStyle w:val="NoSpacing"/>
        <w:spacing w:after="240" w:line="276" w:lineRule="auto"/>
        <w:rPr>
          <w:bCs/>
        </w:rPr>
      </w:pPr>
      <w:r>
        <w:rPr>
          <w:bCs/>
        </w:rPr>
        <w:t xml:space="preserve">[byline] By Michael Benedict </w:t>
      </w:r>
    </w:p>
    <w:p w14:paraId="233735DF" w14:textId="77777777" w:rsidR="00E55A42" w:rsidRDefault="00E55A42" w:rsidP="00915594">
      <w:pPr>
        <w:pStyle w:val="NoSpacing"/>
        <w:spacing w:after="240" w:line="276" w:lineRule="auto"/>
        <w:jc w:val="both"/>
        <w:rPr>
          <w:bCs/>
        </w:rPr>
      </w:pPr>
      <w:r>
        <w:rPr>
          <w:bCs/>
        </w:rPr>
        <w:t>[body]</w:t>
      </w:r>
    </w:p>
    <w:p w14:paraId="4F7F7C75" w14:textId="5DD29297" w:rsidR="00CF42F9" w:rsidRPr="00E55A42" w:rsidRDefault="00CF42F9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>Like many things in life, portfolio management is an endlessly frustrating endeavor.</w:t>
      </w:r>
      <w:r w:rsidR="004D585F">
        <w:rPr>
          <w:bCs/>
        </w:rPr>
        <w:t xml:space="preserve"> </w:t>
      </w:r>
      <w:r w:rsidRPr="00E55A42">
        <w:rPr>
          <w:bCs/>
        </w:rPr>
        <w:t>After navigating a complex web of competing objectives, policy guidelines and uncertain market conditions, a whole host of challenges may cause portfolio performance to differ meaningfully from initial expectations.</w:t>
      </w:r>
    </w:p>
    <w:p w14:paraId="2450889F" w14:textId="20FBCBB3" w:rsidR="00007530" w:rsidRPr="00915594" w:rsidRDefault="00CF42F9" w:rsidP="008813D3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Unfortunately, many of those challenges </w:t>
      </w:r>
      <w:r w:rsidR="00D513A9" w:rsidRPr="00E55A42">
        <w:rPr>
          <w:bCs/>
        </w:rPr>
        <w:t>became</w:t>
      </w:r>
      <w:r w:rsidRPr="00E55A42">
        <w:rPr>
          <w:bCs/>
        </w:rPr>
        <w:t xml:space="preserve"> reality over the past several years. </w:t>
      </w:r>
      <w:r w:rsidR="00242E5E" w:rsidRPr="00E55A42">
        <w:rPr>
          <w:bCs/>
        </w:rPr>
        <w:t>In 2020</w:t>
      </w:r>
      <w:r w:rsidR="004D585F">
        <w:rPr>
          <w:bCs/>
        </w:rPr>
        <w:t xml:space="preserve"> and </w:t>
      </w:r>
      <w:r w:rsidR="00242E5E" w:rsidRPr="00E55A42">
        <w:rPr>
          <w:bCs/>
        </w:rPr>
        <w:t xml:space="preserve">2021, record-low interest rates, </w:t>
      </w:r>
      <w:r w:rsidR="000119C8" w:rsidRPr="00E55A42">
        <w:rPr>
          <w:bCs/>
        </w:rPr>
        <w:t>heavy</w:t>
      </w:r>
      <w:r w:rsidR="00242E5E" w:rsidRPr="00E55A42">
        <w:rPr>
          <w:bCs/>
        </w:rPr>
        <w:t xml:space="preserve"> deposit inflows and lackluster loan demand created a perfect storm where bond portfolios had to be built</w:t>
      </w:r>
      <w:r w:rsidR="004D585F">
        <w:rPr>
          <w:bCs/>
        </w:rPr>
        <w:t>—</w:t>
      </w:r>
      <w:r w:rsidR="00242E5E" w:rsidRPr="00E55A42">
        <w:rPr>
          <w:bCs/>
        </w:rPr>
        <w:t>often in considerable size</w:t>
      </w:r>
      <w:r w:rsidR="004D585F">
        <w:rPr>
          <w:bCs/>
        </w:rPr>
        <w:t>—</w:t>
      </w:r>
      <w:r w:rsidR="00242E5E" w:rsidRPr="00E55A42">
        <w:rPr>
          <w:bCs/>
        </w:rPr>
        <w:t xml:space="preserve">during what </w:t>
      </w:r>
      <w:r w:rsidR="00D513A9" w:rsidRPr="00E55A42">
        <w:rPr>
          <w:bCs/>
        </w:rPr>
        <w:t>was</w:t>
      </w:r>
      <w:r w:rsidR="00242E5E" w:rsidRPr="00E55A42">
        <w:rPr>
          <w:bCs/>
        </w:rPr>
        <w:t xml:space="preserve"> quite possibly the worst investing environment that </w:t>
      </w:r>
      <w:r w:rsidR="00007530">
        <w:rPr>
          <w:bCs/>
        </w:rPr>
        <w:t>anyone</w:t>
      </w:r>
      <w:r w:rsidR="00007530" w:rsidRPr="00E55A42">
        <w:rPr>
          <w:bCs/>
        </w:rPr>
        <w:t xml:space="preserve"> </w:t>
      </w:r>
      <w:r w:rsidR="00242E5E" w:rsidRPr="00E55A42">
        <w:rPr>
          <w:bCs/>
        </w:rPr>
        <w:t>reading this column has</w:t>
      </w:r>
      <w:r w:rsidR="00D513A9" w:rsidRPr="00E55A42">
        <w:rPr>
          <w:bCs/>
        </w:rPr>
        <w:t xml:space="preserve"> ever</w:t>
      </w:r>
      <w:r w:rsidR="00242E5E" w:rsidRPr="00E55A42">
        <w:rPr>
          <w:bCs/>
        </w:rPr>
        <w:t xml:space="preserve"> face</w:t>
      </w:r>
      <w:r w:rsidR="004608BC" w:rsidRPr="00E55A42">
        <w:rPr>
          <w:bCs/>
        </w:rPr>
        <w:t>d</w:t>
      </w:r>
      <w:r w:rsidR="00242E5E" w:rsidRPr="00E55A42">
        <w:rPr>
          <w:bCs/>
        </w:rPr>
        <w:t>.</w:t>
      </w:r>
      <w:r w:rsidR="00D002AE" w:rsidRPr="00E55A42">
        <w:rPr>
          <w:bCs/>
        </w:rPr>
        <w:t xml:space="preserve"> </w:t>
      </w:r>
      <w:r w:rsidR="00D513A9" w:rsidRPr="00E55A42">
        <w:rPr>
          <w:bCs/>
        </w:rPr>
        <w:t>To make matters worse</w:t>
      </w:r>
      <w:r w:rsidR="00242E5E" w:rsidRPr="00E55A42">
        <w:rPr>
          <w:bCs/>
        </w:rPr>
        <w:t xml:space="preserve">, </w:t>
      </w:r>
      <w:r w:rsidR="007D232A" w:rsidRPr="00E55A42">
        <w:rPr>
          <w:bCs/>
        </w:rPr>
        <w:t xml:space="preserve">the historically rapid ascent of policy rates </w:t>
      </w:r>
      <w:r w:rsidR="004D585F">
        <w:rPr>
          <w:bCs/>
        </w:rPr>
        <w:t>from</w:t>
      </w:r>
      <w:r w:rsidR="004D585F" w:rsidRPr="00E55A42">
        <w:rPr>
          <w:bCs/>
        </w:rPr>
        <w:t xml:space="preserve"> </w:t>
      </w:r>
      <w:r w:rsidR="007D232A" w:rsidRPr="00E55A42">
        <w:rPr>
          <w:bCs/>
        </w:rPr>
        <w:t>2022</w:t>
      </w:r>
      <w:r w:rsidR="00007530">
        <w:rPr>
          <w:bCs/>
        </w:rPr>
        <w:t xml:space="preserve"> to </w:t>
      </w:r>
      <w:r w:rsidR="007D232A" w:rsidRPr="00E55A42">
        <w:rPr>
          <w:bCs/>
        </w:rPr>
        <w:t xml:space="preserve">2023 created </w:t>
      </w:r>
      <w:r w:rsidR="0030279F" w:rsidRPr="00E55A42">
        <w:rPr>
          <w:bCs/>
        </w:rPr>
        <w:t>sizable</w:t>
      </w:r>
      <w:r w:rsidR="00D002AE" w:rsidRPr="00E55A42">
        <w:rPr>
          <w:bCs/>
        </w:rPr>
        <w:t xml:space="preserve"> unrealized</w:t>
      </w:r>
      <w:r w:rsidR="007D232A" w:rsidRPr="00E55A42">
        <w:rPr>
          <w:bCs/>
        </w:rPr>
        <w:t xml:space="preserve"> losses on the</w:t>
      </w:r>
      <w:r w:rsidR="00D002AE" w:rsidRPr="00E55A42">
        <w:rPr>
          <w:bCs/>
        </w:rPr>
        <w:t>se</w:t>
      </w:r>
      <w:r w:rsidR="007D232A" w:rsidRPr="00E55A42">
        <w:rPr>
          <w:bCs/>
        </w:rPr>
        <w:t xml:space="preserve"> portfolios </w:t>
      </w:r>
      <w:r w:rsidR="00D002AE" w:rsidRPr="00E55A42">
        <w:rPr>
          <w:bCs/>
        </w:rPr>
        <w:t>shortly after they were constructed, causing considerable stress at</w:t>
      </w:r>
      <w:r w:rsidR="00E703EC" w:rsidRPr="00E55A42">
        <w:rPr>
          <w:bCs/>
        </w:rPr>
        <w:t xml:space="preserve"> </w:t>
      </w:r>
      <w:r w:rsidR="00AB6902" w:rsidRPr="00E55A42">
        <w:rPr>
          <w:bCs/>
        </w:rPr>
        <w:t>many institutions</w:t>
      </w:r>
      <w:r w:rsidR="00A77F54" w:rsidRPr="00E55A42">
        <w:rPr>
          <w:bCs/>
        </w:rPr>
        <w:t>.</w:t>
      </w:r>
      <w:r w:rsidR="008813D3">
        <w:rPr>
          <w:bCs/>
        </w:rPr>
        <w:t xml:space="preserve"> Though 2024 might seem relatively calm by comparison, a difficult operating environment remains given </w:t>
      </w:r>
      <w:r w:rsidR="008813D3" w:rsidRPr="00915594">
        <w:rPr>
          <w:bCs/>
        </w:rPr>
        <w:t xml:space="preserve">that </w:t>
      </w:r>
      <w:r w:rsidR="006C0EFF" w:rsidRPr="00915594">
        <w:rPr>
          <w:bCs/>
        </w:rPr>
        <w:t>the</w:t>
      </w:r>
      <w:r w:rsidR="008813D3" w:rsidRPr="00915594">
        <w:rPr>
          <w:bCs/>
        </w:rPr>
        <w:t xml:space="preserve"> five-year Treasury rate is near its highest level in more than a decade and the</w:t>
      </w:r>
      <w:r w:rsidR="006C0EFF" w:rsidRPr="00915594">
        <w:rPr>
          <w:bCs/>
        </w:rPr>
        <w:t xml:space="preserve"> yield curve is </w:t>
      </w:r>
      <w:r w:rsidR="00D513A9" w:rsidRPr="00915594">
        <w:rPr>
          <w:bCs/>
        </w:rPr>
        <w:t>experiencing</w:t>
      </w:r>
      <w:r w:rsidR="0034350F" w:rsidRPr="00915594">
        <w:rPr>
          <w:bCs/>
        </w:rPr>
        <w:t xml:space="preserve"> one of the longest and deepest inversions of the past 47 years</w:t>
      </w:r>
      <w:r w:rsidR="004D585F" w:rsidRPr="00915594">
        <w:rPr>
          <w:bCs/>
        </w:rPr>
        <w:t>.</w:t>
      </w:r>
      <w:r w:rsidR="00A54221" w:rsidRPr="00915594">
        <w:rPr>
          <w:bCs/>
        </w:rPr>
        <w:t xml:space="preserve"> </w:t>
      </w:r>
    </w:p>
    <w:p w14:paraId="063F83BF" w14:textId="0C272ACD" w:rsidR="00A54221" w:rsidRPr="00E55A42" w:rsidRDefault="008813D3" w:rsidP="00915594">
      <w:pPr>
        <w:pStyle w:val="NoSpacing"/>
        <w:spacing w:after="240" w:line="276" w:lineRule="auto"/>
        <w:jc w:val="both"/>
        <w:rPr>
          <w:bCs/>
        </w:rPr>
      </w:pPr>
      <w:r w:rsidRPr="00915594">
        <w:rPr>
          <w:bCs/>
        </w:rPr>
        <w:t>Despite these challenges</w:t>
      </w:r>
      <w:r w:rsidR="004D585F" w:rsidRPr="00915594">
        <w:rPr>
          <w:bCs/>
        </w:rPr>
        <w:t>, you may be asking, “B</w:t>
      </w:r>
      <w:r w:rsidR="00A54221" w:rsidRPr="00915594">
        <w:rPr>
          <w:bCs/>
        </w:rPr>
        <w:t xml:space="preserve">ut my portfolio’s mark-to-market </w:t>
      </w:r>
      <w:r w:rsidR="00915594">
        <w:rPr>
          <w:bCs/>
        </w:rPr>
        <w:t>&lt;</w:t>
      </w:r>
      <w:proofErr w:type="spellStart"/>
      <w:r w:rsidR="00915594">
        <w:rPr>
          <w:bCs/>
        </w:rPr>
        <w:t>i</w:t>
      </w:r>
      <w:proofErr w:type="spellEnd"/>
      <w:r w:rsidR="00915594">
        <w:rPr>
          <w:bCs/>
        </w:rPr>
        <w:t>&gt;</w:t>
      </w:r>
      <w:r w:rsidR="00E96A20" w:rsidRPr="00915594">
        <w:rPr>
          <w:bCs/>
          <w:i/>
        </w:rPr>
        <w:t>will</w:t>
      </w:r>
      <w:r w:rsidR="00915594">
        <w:rPr>
          <w:bCs/>
          <w:i/>
        </w:rPr>
        <w:t>&lt;</w:t>
      </w:r>
      <w:proofErr w:type="spellStart"/>
      <w:r w:rsidR="00915594">
        <w:rPr>
          <w:bCs/>
          <w:i/>
        </w:rPr>
        <w:t>i</w:t>
      </w:r>
      <w:proofErr w:type="spellEnd"/>
      <w:r w:rsidR="00915594">
        <w:rPr>
          <w:bCs/>
          <w:i/>
        </w:rPr>
        <w:t>&gt;</w:t>
      </w:r>
      <w:r w:rsidR="00A54221" w:rsidRPr="00915594">
        <w:rPr>
          <w:bCs/>
        </w:rPr>
        <w:t xml:space="preserve"> g</w:t>
      </w:r>
      <w:r w:rsidR="00E96A20" w:rsidRPr="00915594">
        <w:rPr>
          <w:bCs/>
        </w:rPr>
        <w:t>et</w:t>
      </w:r>
      <w:r w:rsidR="00A54221" w:rsidRPr="00915594">
        <w:rPr>
          <w:bCs/>
        </w:rPr>
        <w:t xml:space="preserve"> better over time, </w:t>
      </w:r>
      <w:r w:rsidR="00E96A20" w:rsidRPr="00915594">
        <w:rPr>
          <w:bCs/>
        </w:rPr>
        <w:t>won’t</w:t>
      </w:r>
      <w:r w:rsidR="00A54221" w:rsidRPr="00915594">
        <w:rPr>
          <w:bCs/>
        </w:rPr>
        <w:t xml:space="preserve"> it?</w:t>
      </w:r>
      <w:r w:rsidR="004D585F" w:rsidRPr="00915594">
        <w:rPr>
          <w:bCs/>
        </w:rPr>
        <w:t>”</w:t>
      </w:r>
      <w:r w:rsidR="00126834" w:rsidRPr="00E55A42">
        <w:rPr>
          <w:bCs/>
        </w:rPr>
        <w:t xml:space="preserve"> With the season of summer road trips fully upon us, addressing questions like th</w:t>
      </w:r>
      <w:r w:rsidR="004D585F">
        <w:rPr>
          <w:bCs/>
        </w:rPr>
        <w:t>is</w:t>
      </w:r>
      <w:r w:rsidR="00126834" w:rsidRPr="00E55A42">
        <w:rPr>
          <w:bCs/>
        </w:rPr>
        <w:t xml:space="preserve"> in </w:t>
      </w:r>
      <w:r w:rsidR="004D585F">
        <w:rPr>
          <w:bCs/>
        </w:rPr>
        <w:t>a</w:t>
      </w:r>
      <w:r w:rsidR="00F35076" w:rsidRPr="00E55A42">
        <w:rPr>
          <w:bCs/>
        </w:rPr>
        <w:t>sset</w:t>
      </w:r>
      <w:r w:rsidR="004D585F">
        <w:rPr>
          <w:bCs/>
        </w:rPr>
        <w:t>-l</w:t>
      </w:r>
      <w:r w:rsidR="00F35076" w:rsidRPr="00E55A42">
        <w:rPr>
          <w:bCs/>
        </w:rPr>
        <w:t xml:space="preserve">iability </w:t>
      </w:r>
      <w:r w:rsidR="004D585F">
        <w:rPr>
          <w:bCs/>
        </w:rPr>
        <w:t>c</w:t>
      </w:r>
      <w:r w:rsidR="00F35076" w:rsidRPr="00E55A42">
        <w:rPr>
          <w:bCs/>
        </w:rPr>
        <w:t>ommittee</w:t>
      </w:r>
      <w:r w:rsidR="004D585F">
        <w:rPr>
          <w:bCs/>
        </w:rPr>
        <w:t xml:space="preserve"> (ALCO)</w:t>
      </w:r>
      <w:r w:rsidR="00126834" w:rsidRPr="00E55A42">
        <w:rPr>
          <w:bCs/>
        </w:rPr>
        <w:t xml:space="preserve"> or </w:t>
      </w:r>
      <w:r w:rsidR="004D585F">
        <w:rPr>
          <w:bCs/>
        </w:rPr>
        <w:t>i</w:t>
      </w:r>
      <w:r w:rsidR="00126834" w:rsidRPr="00E55A42">
        <w:rPr>
          <w:bCs/>
        </w:rPr>
        <w:t xml:space="preserve">nvestment </w:t>
      </w:r>
      <w:r w:rsidR="004D585F">
        <w:rPr>
          <w:bCs/>
        </w:rPr>
        <w:t>c</w:t>
      </w:r>
      <w:r w:rsidR="00126834" w:rsidRPr="00E55A42">
        <w:rPr>
          <w:bCs/>
        </w:rPr>
        <w:t>ommittee might feel a bit like hearing “</w:t>
      </w:r>
      <w:r w:rsidR="00007530">
        <w:rPr>
          <w:bCs/>
        </w:rPr>
        <w:t>A</w:t>
      </w:r>
      <w:r w:rsidR="00007530" w:rsidRPr="00E55A42">
        <w:rPr>
          <w:bCs/>
        </w:rPr>
        <w:t xml:space="preserve">re </w:t>
      </w:r>
      <w:r w:rsidR="00126834" w:rsidRPr="00E55A42">
        <w:rPr>
          <w:bCs/>
        </w:rPr>
        <w:t>we there yet?” from the back seat of the car</w:t>
      </w:r>
      <w:r w:rsidR="00AF54B9" w:rsidRPr="00E55A42">
        <w:rPr>
          <w:bCs/>
        </w:rPr>
        <w:t xml:space="preserve"> shortly after pulling out of the driveway</w:t>
      </w:r>
      <w:r w:rsidR="00126834" w:rsidRPr="00E55A42">
        <w:rPr>
          <w:bCs/>
        </w:rPr>
        <w:t>.</w:t>
      </w:r>
    </w:p>
    <w:p w14:paraId="07B41B5B" w14:textId="460AE76C" w:rsidR="00AC449A" w:rsidRPr="00E55A42" w:rsidRDefault="00ED4B08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Although there may not actually be a correct response to either question, </w:t>
      </w:r>
      <w:r w:rsidR="004D585F">
        <w:rPr>
          <w:bCs/>
        </w:rPr>
        <w:t>I</w:t>
      </w:r>
      <w:r w:rsidR="004D585F" w:rsidRPr="00E55A42">
        <w:rPr>
          <w:bCs/>
        </w:rPr>
        <w:t xml:space="preserve"> </w:t>
      </w:r>
      <w:r w:rsidR="00E96A20" w:rsidRPr="00E55A42">
        <w:rPr>
          <w:bCs/>
        </w:rPr>
        <w:t>hope</w:t>
      </w:r>
      <w:r w:rsidR="00AF54B9" w:rsidRPr="00E55A42">
        <w:rPr>
          <w:bCs/>
        </w:rPr>
        <w:t xml:space="preserve"> </w:t>
      </w:r>
      <w:r w:rsidR="004D585F">
        <w:rPr>
          <w:bCs/>
        </w:rPr>
        <w:t>to</w:t>
      </w:r>
      <w:r w:rsidR="00AF54B9" w:rsidRPr="00E55A42">
        <w:rPr>
          <w:bCs/>
        </w:rPr>
        <w:t xml:space="preserve"> help </w:t>
      </w:r>
      <w:r w:rsidR="00152CE4" w:rsidRPr="00E55A42">
        <w:rPr>
          <w:bCs/>
        </w:rPr>
        <w:t xml:space="preserve">address questions from </w:t>
      </w:r>
      <w:r w:rsidR="00AF54B9" w:rsidRPr="00E55A42">
        <w:rPr>
          <w:bCs/>
        </w:rPr>
        <w:t xml:space="preserve">board members, executives or investors/owners </w:t>
      </w:r>
      <w:r w:rsidRPr="00E55A42">
        <w:rPr>
          <w:bCs/>
        </w:rPr>
        <w:t>in a way that facilitates productive dialogue rather than simply kicking the can down the road.</w:t>
      </w:r>
      <w:r w:rsidR="004D585F">
        <w:rPr>
          <w:bCs/>
        </w:rPr>
        <w:t xml:space="preserve"> Absent </w:t>
      </w:r>
      <w:r w:rsidR="008860C6" w:rsidRPr="00E55A42">
        <w:rPr>
          <w:bCs/>
        </w:rPr>
        <w:t>any rate moves, management teams are</w:t>
      </w:r>
      <w:r w:rsidRPr="00E55A42">
        <w:rPr>
          <w:bCs/>
        </w:rPr>
        <w:t xml:space="preserve"> often</w:t>
      </w:r>
      <w:r w:rsidR="008860C6" w:rsidRPr="00E55A42">
        <w:rPr>
          <w:bCs/>
        </w:rPr>
        <w:t xml:space="preserve"> surprised how lon</w:t>
      </w:r>
      <w:r w:rsidR="00152CE4" w:rsidRPr="00E55A42">
        <w:rPr>
          <w:bCs/>
        </w:rPr>
        <w:t xml:space="preserve">g portfolio mark-to-market losses </w:t>
      </w:r>
      <w:r w:rsidR="00AC0C5E" w:rsidRPr="00E55A42">
        <w:rPr>
          <w:bCs/>
        </w:rPr>
        <w:t>are carried into the future</w:t>
      </w:r>
      <w:r w:rsidR="004D585F">
        <w:rPr>
          <w:bCs/>
        </w:rPr>
        <w:t>. B</w:t>
      </w:r>
      <w:r w:rsidR="00152CE4" w:rsidRPr="00E55A42">
        <w:rPr>
          <w:bCs/>
        </w:rPr>
        <w:t xml:space="preserve">ut there are some common pitfalls to avoid in </w:t>
      </w:r>
      <w:r w:rsidR="00E96A20" w:rsidRPr="00E55A42">
        <w:rPr>
          <w:bCs/>
        </w:rPr>
        <w:t>approaching</w:t>
      </w:r>
      <w:r w:rsidR="00152CE4" w:rsidRPr="00E55A42">
        <w:rPr>
          <w:bCs/>
        </w:rPr>
        <w:t xml:space="preserve"> the conversation</w:t>
      </w:r>
      <w:r w:rsidR="00126834" w:rsidRPr="00E55A42">
        <w:rPr>
          <w:bCs/>
        </w:rPr>
        <w:t>.</w:t>
      </w:r>
    </w:p>
    <w:p w14:paraId="1781EBFF" w14:textId="77777777" w:rsidR="00007530" w:rsidRDefault="00007530">
      <w:pPr>
        <w:pStyle w:val="NoSpacing"/>
        <w:spacing w:after="240" w:line="276" w:lineRule="auto"/>
        <w:rPr>
          <w:bCs/>
        </w:rPr>
      </w:pPr>
    </w:p>
    <w:p w14:paraId="03FD1F65" w14:textId="695D19E1" w:rsidR="00AC449A" w:rsidRPr="00E55A42" w:rsidRDefault="00E55A42" w:rsidP="00915594">
      <w:pPr>
        <w:pStyle w:val="NoSpacing"/>
        <w:spacing w:after="240" w:line="276" w:lineRule="auto"/>
        <w:rPr>
          <w:bCs/>
        </w:rPr>
      </w:pPr>
      <w:r>
        <w:rPr>
          <w:bCs/>
        </w:rPr>
        <w:lastRenderedPageBreak/>
        <w:t>[</w:t>
      </w:r>
      <w:proofErr w:type="spellStart"/>
      <w:r>
        <w:rPr>
          <w:bCs/>
        </w:rPr>
        <w:t>subhed</w:t>
      </w:r>
      <w:proofErr w:type="spellEnd"/>
      <w:r>
        <w:rPr>
          <w:bCs/>
        </w:rPr>
        <w:t>]</w:t>
      </w:r>
      <w:r w:rsidR="004D585F">
        <w:rPr>
          <w:bCs/>
        </w:rPr>
        <w:t xml:space="preserve"> P</w:t>
      </w:r>
      <w:r w:rsidR="00AC449A" w:rsidRPr="00915594">
        <w:rPr>
          <w:bCs/>
        </w:rPr>
        <w:t xml:space="preserve">ortfolio </w:t>
      </w:r>
      <w:r w:rsidR="001821B6" w:rsidRPr="00915594">
        <w:rPr>
          <w:bCs/>
        </w:rPr>
        <w:t>mark</w:t>
      </w:r>
      <w:r w:rsidR="00AC449A" w:rsidRPr="00915594">
        <w:rPr>
          <w:bCs/>
        </w:rPr>
        <w:t>-to-</w:t>
      </w:r>
      <w:r w:rsidR="001821B6" w:rsidRPr="00915594">
        <w:rPr>
          <w:bCs/>
        </w:rPr>
        <w:t xml:space="preserve">market </w:t>
      </w:r>
    </w:p>
    <w:p w14:paraId="30C39FC6" w14:textId="0CFFED4B" w:rsidR="00602E37" w:rsidRPr="00915594" w:rsidRDefault="008860C6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To explore this further, </w:t>
      </w:r>
      <w:r w:rsidR="00644498" w:rsidRPr="00E55A42">
        <w:rPr>
          <w:bCs/>
        </w:rPr>
        <w:t xml:space="preserve">let’s examine </w:t>
      </w:r>
      <w:r w:rsidRPr="00E55A42">
        <w:rPr>
          <w:bCs/>
        </w:rPr>
        <w:t xml:space="preserve">a </w:t>
      </w:r>
      <w:r w:rsidR="00B40C2A" w:rsidRPr="00E55A42">
        <w:rPr>
          <w:bCs/>
        </w:rPr>
        <w:t>sample</w:t>
      </w:r>
      <w:r w:rsidRPr="00E55A42">
        <w:rPr>
          <w:bCs/>
        </w:rPr>
        <w:t xml:space="preserve"> portfolio that is broadly representative of industry average</w:t>
      </w:r>
      <w:r w:rsidR="00644498" w:rsidRPr="00E55A42">
        <w:rPr>
          <w:bCs/>
        </w:rPr>
        <w:t>s</w:t>
      </w:r>
      <w:r w:rsidRPr="00E55A42">
        <w:rPr>
          <w:bCs/>
        </w:rPr>
        <w:t xml:space="preserve"> based on a variety of factors (yield, gain/loss, duration</w:t>
      </w:r>
      <w:r w:rsidR="00B212EA">
        <w:rPr>
          <w:bCs/>
        </w:rPr>
        <w:t xml:space="preserve"> and</w:t>
      </w:r>
      <w:r w:rsidRPr="00E55A42">
        <w:rPr>
          <w:bCs/>
        </w:rPr>
        <w:t xml:space="preserve"> sector composition). An overview of the portfolio is shown in </w:t>
      </w:r>
      <w:r w:rsidRPr="00915594">
        <w:rPr>
          <w:bCs/>
        </w:rPr>
        <w:t>Figure 1</w:t>
      </w:r>
      <w:r w:rsidR="00496CE4">
        <w:rPr>
          <w:bCs/>
        </w:rPr>
        <w:t xml:space="preserve"> </w:t>
      </w:r>
      <w:r w:rsidR="00007530">
        <w:rPr>
          <w:bCs/>
        </w:rPr>
        <w:t>[location TK]</w:t>
      </w:r>
      <w:r w:rsidRPr="00E55A42">
        <w:rPr>
          <w:bCs/>
        </w:rPr>
        <w:t>.</w:t>
      </w:r>
    </w:p>
    <w:p w14:paraId="726EE7C5" w14:textId="7ABB1340" w:rsidR="00C21FBC" w:rsidRPr="00E55A42" w:rsidRDefault="00B40C2A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Your portfolio may look somewhat different from the </w:t>
      </w:r>
      <w:r w:rsidR="006572F8" w:rsidRPr="00E55A42">
        <w:rPr>
          <w:bCs/>
        </w:rPr>
        <w:t xml:space="preserve">sample, but </w:t>
      </w:r>
      <w:r w:rsidR="000119C8" w:rsidRPr="00E55A42">
        <w:rPr>
          <w:bCs/>
        </w:rPr>
        <w:t>a key part of this discussion centers around the</w:t>
      </w:r>
      <w:r w:rsidR="00564204" w:rsidRPr="00E55A42">
        <w:rPr>
          <w:bCs/>
        </w:rPr>
        <w:t xml:space="preserve"> general</w:t>
      </w:r>
      <w:r w:rsidR="000119C8" w:rsidRPr="00E55A42">
        <w:rPr>
          <w:bCs/>
        </w:rPr>
        <w:t xml:space="preserve"> concept of duration</w:t>
      </w:r>
      <w:r w:rsidR="00564204" w:rsidRPr="00E55A42">
        <w:rPr>
          <w:bCs/>
        </w:rPr>
        <w:t xml:space="preserve"> rather than the </w:t>
      </w:r>
      <w:proofErr w:type="gramStart"/>
      <w:r w:rsidR="00564204" w:rsidRPr="00E55A42">
        <w:rPr>
          <w:bCs/>
        </w:rPr>
        <w:t>particular characteristics</w:t>
      </w:r>
      <w:proofErr w:type="gramEnd"/>
      <w:r w:rsidR="00564204" w:rsidRPr="00E55A42">
        <w:rPr>
          <w:bCs/>
        </w:rPr>
        <w:t xml:space="preserve"> of an individual portfolio</w:t>
      </w:r>
      <w:r w:rsidR="00B212EA">
        <w:rPr>
          <w:bCs/>
        </w:rPr>
        <w:t>. So,</w:t>
      </w:r>
      <w:r w:rsidR="00574717" w:rsidRPr="00E55A42">
        <w:rPr>
          <w:bCs/>
        </w:rPr>
        <w:t xml:space="preserve"> please bear with me.</w:t>
      </w:r>
    </w:p>
    <w:p w14:paraId="7C80FD3F" w14:textId="77777777" w:rsidR="00007530" w:rsidRDefault="00007530">
      <w:pPr>
        <w:pStyle w:val="NoSpacing"/>
        <w:tabs>
          <w:tab w:val="left" w:pos="2410"/>
        </w:tabs>
        <w:spacing w:after="240" w:line="276" w:lineRule="auto"/>
        <w:rPr>
          <w:bCs/>
        </w:rPr>
      </w:pPr>
    </w:p>
    <w:p w14:paraId="5AA5D693" w14:textId="2615325D" w:rsidR="00C21FBC" w:rsidRPr="00E55A42" w:rsidRDefault="00E55A42" w:rsidP="00915594">
      <w:pPr>
        <w:pStyle w:val="NoSpacing"/>
        <w:tabs>
          <w:tab w:val="left" w:pos="2410"/>
        </w:tabs>
        <w:spacing w:after="240" w:line="276" w:lineRule="auto"/>
        <w:rPr>
          <w:bCs/>
        </w:rPr>
      </w:pPr>
      <w:r>
        <w:rPr>
          <w:bCs/>
        </w:rPr>
        <w:t>[</w:t>
      </w:r>
      <w:proofErr w:type="spellStart"/>
      <w:r>
        <w:rPr>
          <w:bCs/>
        </w:rPr>
        <w:t>subhed</w:t>
      </w:r>
      <w:proofErr w:type="spellEnd"/>
      <w:r>
        <w:rPr>
          <w:bCs/>
        </w:rPr>
        <w:t xml:space="preserve">] </w:t>
      </w:r>
      <w:r w:rsidR="00C21FBC" w:rsidRPr="00915594">
        <w:rPr>
          <w:bCs/>
        </w:rPr>
        <w:t>Where</w:t>
      </w:r>
      <w:r w:rsidR="00C161FD">
        <w:rPr>
          <w:bCs/>
        </w:rPr>
        <w:t xml:space="preserve"> duration</w:t>
      </w:r>
      <w:r w:rsidR="00C21FBC" w:rsidRPr="00915594">
        <w:rPr>
          <w:bCs/>
        </w:rPr>
        <w:t xml:space="preserve"> is </w:t>
      </w:r>
      <w:r w:rsidR="00F35076" w:rsidRPr="00915594">
        <w:rPr>
          <w:bCs/>
        </w:rPr>
        <w:t xml:space="preserve">useful </w:t>
      </w:r>
      <w:r w:rsidR="00C21FBC" w:rsidRPr="00915594">
        <w:rPr>
          <w:bCs/>
        </w:rPr>
        <w:t xml:space="preserve">(and </w:t>
      </w:r>
      <w:r w:rsidR="00F35076" w:rsidRPr="00915594">
        <w:rPr>
          <w:bCs/>
        </w:rPr>
        <w:t xml:space="preserve">where </w:t>
      </w:r>
      <w:r w:rsidR="00C21FBC" w:rsidRPr="00915594">
        <w:rPr>
          <w:bCs/>
        </w:rPr>
        <w:t>it isn’t)</w:t>
      </w:r>
    </w:p>
    <w:p w14:paraId="27259953" w14:textId="5AE5B04A" w:rsidR="004E5C3A" w:rsidRPr="00E55A42" w:rsidRDefault="000119C8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Management teams frequently use duration to estimate how portfolio marks will move </w:t>
      </w:r>
      <w:r w:rsidR="00EB5CCA">
        <w:rPr>
          <w:bCs/>
        </w:rPr>
        <w:t>due to</w:t>
      </w:r>
      <w:r w:rsidRPr="00E55A42">
        <w:rPr>
          <w:bCs/>
        </w:rPr>
        <w:t xml:space="preserve"> changes in interest rates.</w:t>
      </w:r>
      <w:r w:rsidR="00644498" w:rsidRPr="00E55A42">
        <w:rPr>
          <w:bCs/>
        </w:rPr>
        <w:t xml:space="preserve"> Based on </w:t>
      </w:r>
      <w:r w:rsidR="009B1CE5">
        <w:rPr>
          <w:bCs/>
        </w:rPr>
        <w:t>our sample portfolio’s</w:t>
      </w:r>
      <w:r w:rsidR="009B1CE5" w:rsidRPr="00E55A42">
        <w:rPr>
          <w:bCs/>
        </w:rPr>
        <w:t xml:space="preserve"> </w:t>
      </w:r>
      <w:r w:rsidR="00644498" w:rsidRPr="00E55A42">
        <w:rPr>
          <w:bCs/>
        </w:rPr>
        <w:t>effective duration of 4.6, one can</w:t>
      </w:r>
      <w:r w:rsidR="008E266B" w:rsidRPr="00E55A42">
        <w:rPr>
          <w:bCs/>
        </w:rPr>
        <w:t xml:space="preserve"> reasonably</w:t>
      </w:r>
      <w:r w:rsidR="00644498" w:rsidRPr="00E55A42">
        <w:rPr>
          <w:bCs/>
        </w:rPr>
        <w:t xml:space="preserve"> assume that </w:t>
      </w:r>
      <w:r w:rsidR="009B1CE5">
        <w:rPr>
          <w:bCs/>
        </w:rPr>
        <w:t>its</w:t>
      </w:r>
      <w:r w:rsidR="00644498" w:rsidRPr="00E55A42">
        <w:rPr>
          <w:bCs/>
        </w:rPr>
        <w:t xml:space="preserve"> price would decline by roughly 4.6 percentage points if interest rates increased by 100 basis points.</w:t>
      </w:r>
      <w:r w:rsidRPr="00E55A42">
        <w:rPr>
          <w:bCs/>
        </w:rPr>
        <w:t xml:space="preserve"> </w:t>
      </w:r>
      <w:r w:rsidR="003E102C" w:rsidRPr="00E55A42">
        <w:rPr>
          <w:bCs/>
        </w:rPr>
        <w:t>Though there is some nuance to why actual marks could differ from projections, this is an entirely appropriate application of the concept</w:t>
      </w:r>
      <w:r w:rsidR="00496CE4">
        <w:rPr>
          <w:bCs/>
        </w:rPr>
        <w:t>—</w:t>
      </w:r>
      <w:r w:rsidR="008E266B" w:rsidRPr="00E55A42">
        <w:rPr>
          <w:bCs/>
        </w:rPr>
        <w:t>and</w:t>
      </w:r>
      <w:r w:rsidR="009B1CE5">
        <w:rPr>
          <w:bCs/>
        </w:rPr>
        <w:t>,</w:t>
      </w:r>
      <w:r w:rsidR="008E266B" w:rsidRPr="00E55A42">
        <w:rPr>
          <w:bCs/>
        </w:rPr>
        <w:t xml:space="preserve"> q</w:t>
      </w:r>
      <w:r w:rsidR="002409B8" w:rsidRPr="00E55A42">
        <w:rPr>
          <w:bCs/>
        </w:rPr>
        <w:t>uite simply,</w:t>
      </w:r>
      <w:r w:rsidR="00496CE4">
        <w:rPr>
          <w:bCs/>
        </w:rPr>
        <w:t xml:space="preserve"> </w:t>
      </w:r>
      <w:r w:rsidR="009B1CE5">
        <w:rPr>
          <w:bCs/>
        </w:rPr>
        <w:t xml:space="preserve">it </w:t>
      </w:r>
      <w:r w:rsidR="002409B8" w:rsidRPr="00E55A42">
        <w:rPr>
          <w:bCs/>
        </w:rPr>
        <w:t>is precisely what duration is designed to do.</w:t>
      </w:r>
    </w:p>
    <w:p w14:paraId="6877C969" w14:textId="56266193" w:rsidR="002409B8" w:rsidRPr="00E55A42" w:rsidRDefault="008E266B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But </w:t>
      </w:r>
      <w:r w:rsidR="000B7062" w:rsidRPr="00E55A42">
        <w:rPr>
          <w:bCs/>
        </w:rPr>
        <w:t>management teams often</w:t>
      </w:r>
      <w:r w:rsidR="00D002AE" w:rsidRPr="00E55A42">
        <w:rPr>
          <w:bCs/>
        </w:rPr>
        <w:t xml:space="preserve"> </w:t>
      </w:r>
      <w:r w:rsidR="00496D22" w:rsidRPr="00E55A42">
        <w:rPr>
          <w:bCs/>
        </w:rPr>
        <w:t>extrapolate that thought process to estimate</w:t>
      </w:r>
      <w:r w:rsidR="000B7062" w:rsidRPr="00E55A42">
        <w:rPr>
          <w:bCs/>
        </w:rPr>
        <w:t xml:space="preserve"> mark-to-market roll</w:t>
      </w:r>
      <w:r w:rsidR="00496CE4">
        <w:rPr>
          <w:bCs/>
        </w:rPr>
        <w:t>-</w:t>
      </w:r>
      <w:r w:rsidR="000B7062" w:rsidRPr="00E55A42">
        <w:rPr>
          <w:bCs/>
        </w:rPr>
        <w:t xml:space="preserve">off in a similar fashion. </w:t>
      </w:r>
      <w:r w:rsidR="00496D22" w:rsidRPr="00E55A42">
        <w:rPr>
          <w:bCs/>
        </w:rPr>
        <w:t>It seems intuitive to think that</w:t>
      </w:r>
      <w:r w:rsidRPr="00E55A42">
        <w:rPr>
          <w:bCs/>
        </w:rPr>
        <w:t xml:space="preserve"> </w:t>
      </w:r>
      <w:r w:rsidR="00F95EAF" w:rsidRPr="00E55A42">
        <w:rPr>
          <w:bCs/>
        </w:rPr>
        <w:t>one</w:t>
      </w:r>
      <w:r w:rsidR="000A241D" w:rsidRPr="00E55A42">
        <w:rPr>
          <w:bCs/>
        </w:rPr>
        <w:t xml:space="preserve"> </w:t>
      </w:r>
      <w:r w:rsidR="00496D22" w:rsidRPr="00E55A42">
        <w:rPr>
          <w:bCs/>
        </w:rPr>
        <w:t>can</w:t>
      </w:r>
      <w:r w:rsidR="000A241D" w:rsidRPr="00E55A42">
        <w:rPr>
          <w:bCs/>
        </w:rPr>
        <w:t xml:space="preserve"> divide our </w:t>
      </w:r>
      <w:r w:rsidR="002409B8" w:rsidRPr="00E55A42">
        <w:rPr>
          <w:bCs/>
        </w:rPr>
        <w:t>sample portfolio</w:t>
      </w:r>
      <w:r w:rsidR="000A241D" w:rsidRPr="00E55A42">
        <w:rPr>
          <w:bCs/>
        </w:rPr>
        <w:t>’s</w:t>
      </w:r>
      <w:r w:rsidR="002409B8" w:rsidRPr="00E55A42">
        <w:rPr>
          <w:bCs/>
        </w:rPr>
        <w:t xml:space="preserve"> mark-to-market loss of 11.6 percentage points</w:t>
      </w:r>
      <w:r w:rsidR="000A241D" w:rsidRPr="00E55A42">
        <w:rPr>
          <w:bCs/>
        </w:rPr>
        <w:t xml:space="preserve"> by its</w:t>
      </w:r>
      <w:r w:rsidR="002409B8" w:rsidRPr="00E55A42">
        <w:rPr>
          <w:bCs/>
        </w:rPr>
        <w:t xml:space="preserve"> duration of 4.6</w:t>
      </w:r>
      <w:r w:rsidR="000A241D" w:rsidRPr="00E55A42">
        <w:rPr>
          <w:bCs/>
        </w:rPr>
        <w:t>, leading to expected price improvement of roughly</w:t>
      </w:r>
      <w:r w:rsidR="00644498" w:rsidRPr="00E55A42">
        <w:rPr>
          <w:bCs/>
        </w:rPr>
        <w:t xml:space="preserve"> </w:t>
      </w:r>
      <w:r w:rsidR="000B7062" w:rsidRPr="00E55A42">
        <w:rPr>
          <w:bCs/>
        </w:rPr>
        <w:t>2.5 percentage points per year</w:t>
      </w:r>
      <w:r w:rsidR="00F045D9" w:rsidRPr="00E55A42">
        <w:rPr>
          <w:bCs/>
        </w:rPr>
        <w:t xml:space="preserve"> (or just over $15</w:t>
      </w:r>
      <w:r w:rsidR="00007530">
        <w:rPr>
          <w:bCs/>
        </w:rPr>
        <w:t xml:space="preserve"> million</w:t>
      </w:r>
      <w:r w:rsidR="00F045D9" w:rsidRPr="00E55A42">
        <w:rPr>
          <w:bCs/>
        </w:rPr>
        <w:t xml:space="preserve"> per year in dollar terms)</w:t>
      </w:r>
      <w:r w:rsidR="000B7062" w:rsidRPr="00E55A42">
        <w:rPr>
          <w:bCs/>
        </w:rPr>
        <w:t>.</w:t>
      </w:r>
    </w:p>
    <w:p w14:paraId="37B0A919" w14:textId="69DCC521" w:rsidR="000B7062" w:rsidRPr="00E55A42" w:rsidRDefault="00496D22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>However</w:t>
      </w:r>
      <w:r w:rsidR="000A241D" w:rsidRPr="00E55A42">
        <w:rPr>
          <w:bCs/>
        </w:rPr>
        <w:t>,</w:t>
      </w:r>
      <w:r w:rsidR="00F95EAF" w:rsidRPr="00E55A42">
        <w:rPr>
          <w:bCs/>
        </w:rPr>
        <w:t xml:space="preserve"> a closer look shows that </w:t>
      </w:r>
      <w:r w:rsidR="000A241D" w:rsidRPr="00E55A42">
        <w:rPr>
          <w:bCs/>
        </w:rPr>
        <w:t>using duration to estimate mark-to-market roll</w:t>
      </w:r>
      <w:r w:rsidR="00496CE4">
        <w:rPr>
          <w:bCs/>
        </w:rPr>
        <w:t>-</w:t>
      </w:r>
      <w:r w:rsidR="000A241D" w:rsidRPr="00E55A42">
        <w:rPr>
          <w:bCs/>
        </w:rPr>
        <w:t xml:space="preserve">off can create misleading results. </w:t>
      </w:r>
      <w:r w:rsidR="000A241D" w:rsidRPr="00915594">
        <w:rPr>
          <w:bCs/>
        </w:rPr>
        <w:t>Figure 2</w:t>
      </w:r>
      <w:r w:rsidR="000A241D" w:rsidRPr="00E55A42">
        <w:rPr>
          <w:bCs/>
        </w:rPr>
        <w:t xml:space="preserve"> </w:t>
      </w:r>
      <w:r w:rsidR="009B1CE5">
        <w:rPr>
          <w:bCs/>
        </w:rPr>
        <w:t>[location TK]</w:t>
      </w:r>
      <w:r w:rsidR="00496CE4">
        <w:rPr>
          <w:bCs/>
        </w:rPr>
        <w:t xml:space="preserve"> </w:t>
      </w:r>
      <w:r w:rsidR="00250085">
        <w:rPr>
          <w:bCs/>
        </w:rPr>
        <w:t>explores</w:t>
      </w:r>
      <w:r w:rsidR="003C60EA" w:rsidRPr="00E55A42">
        <w:rPr>
          <w:bCs/>
        </w:rPr>
        <w:t xml:space="preserve"> </w:t>
      </w:r>
      <w:r w:rsidR="000A241D" w:rsidRPr="00E55A42">
        <w:rPr>
          <w:bCs/>
        </w:rPr>
        <w:t>a horizon market value analysis on our sample portfolio that provides a more realistic depiction of how mark-to-market will evolve in future years.</w:t>
      </w:r>
    </w:p>
    <w:p w14:paraId="1B0973B5" w14:textId="204140FD" w:rsidR="00107F9E" w:rsidRPr="00E55A42" w:rsidRDefault="003C60EA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Of </w:t>
      </w:r>
      <w:proofErr w:type="gramStart"/>
      <w:r w:rsidRPr="00E55A42">
        <w:rPr>
          <w:bCs/>
        </w:rPr>
        <w:t>particular note</w:t>
      </w:r>
      <w:proofErr w:type="gramEnd"/>
      <w:r w:rsidR="009B1CE5">
        <w:rPr>
          <w:bCs/>
        </w:rPr>
        <w:t xml:space="preserve"> is</w:t>
      </w:r>
      <w:r w:rsidRPr="00E55A42">
        <w:rPr>
          <w:bCs/>
        </w:rPr>
        <w:t xml:space="preserve"> that $29.6</w:t>
      </w:r>
      <w:r w:rsidR="00007530">
        <w:rPr>
          <w:bCs/>
        </w:rPr>
        <w:t xml:space="preserve"> </w:t>
      </w:r>
      <w:proofErr w:type="spellStart"/>
      <w:r w:rsidR="00007530">
        <w:rPr>
          <w:bCs/>
        </w:rPr>
        <w:t>million</w:t>
      </w:r>
      <w:proofErr w:type="spellEnd"/>
      <w:r w:rsidRPr="00E55A42">
        <w:rPr>
          <w:bCs/>
        </w:rPr>
        <w:t xml:space="preserve"> of loss remains outstanding after five years, representing nearly 43% of the </w:t>
      </w:r>
      <w:r w:rsidR="007D3518" w:rsidRPr="00E55A42">
        <w:rPr>
          <w:bCs/>
        </w:rPr>
        <w:t>portfolio’s beginning loss position.</w:t>
      </w:r>
      <w:r w:rsidR="00F045D9" w:rsidRPr="00E55A42">
        <w:rPr>
          <w:bCs/>
        </w:rPr>
        <w:t xml:space="preserve"> </w:t>
      </w:r>
      <w:r w:rsidR="00496D22" w:rsidRPr="00E55A42">
        <w:rPr>
          <w:bCs/>
        </w:rPr>
        <w:t>Furthermore</w:t>
      </w:r>
      <w:r w:rsidR="00F045D9" w:rsidRPr="00E55A42">
        <w:rPr>
          <w:bCs/>
        </w:rPr>
        <w:t>, the average annual decline in mark-to-market is $7.9</w:t>
      </w:r>
      <w:r w:rsidR="00007530">
        <w:rPr>
          <w:bCs/>
        </w:rPr>
        <w:t xml:space="preserve"> million</w:t>
      </w:r>
      <w:r w:rsidR="0042539B" w:rsidRPr="00E55A42">
        <w:rPr>
          <w:bCs/>
        </w:rPr>
        <w:t xml:space="preserve"> over this period</w:t>
      </w:r>
      <w:r w:rsidR="00E55A42">
        <w:rPr>
          <w:bCs/>
        </w:rPr>
        <w:t>—</w:t>
      </w:r>
      <w:r w:rsidR="0042539B" w:rsidRPr="00E55A42">
        <w:rPr>
          <w:bCs/>
        </w:rPr>
        <w:t xml:space="preserve">roughly half of the “expected” decline based on portfolio duration. Naturally, this can be </w:t>
      </w:r>
      <w:r w:rsidR="00F045D9" w:rsidRPr="00E55A42">
        <w:rPr>
          <w:bCs/>
        </w:rPr>
        <w:t>q</w:t>
      </w:r>
      <w:r w:rsidR="00E96A20" w:rsidRPr="00E55A42">
        <w:rPr>
          <w:bCs/>
        </w:rPr>
        <w:t xml:space="preserve">uite </w:t>
      </w:r>
      <w:r w:rsidR="007D3518" w:rsidRPr="00E55A42">
        <w:rPr>
          <w:bCs/>
        </w:rPr>
        <w:t xml:space="preserve">jarring for managers who expected mark-to-market to move back to neutral </w:t>
      </w:r>
      <w:r w:rsidR="00F045D9" w:rsidRPr="00E55A42">
        <w:rPr>
          <w:bCs/>
        </w:rPr>
        <w:t xml:space="preserve">within </w:t>
      </w:r>
      <w:r w:rsidR="00B212EA">
        <w:rPr>
          <w:bCs/>
        </w:rPr>
        <w:t>five</w:t>
      </w:r>
      <w:r w:rsidR="00E96A20" w:rsidRPr="00E55A42">
        <w:rPr>
          <w:bCs/>
        </w:rPr>
        <w:t xml:space="preserve"> </w:t>
      </w:r>
      <w:r w:rsidR="00F045D9" w:rsidRPr="00E55A42">
        <w:rPr>
          <w:bCs/>
        </w:rPr>
        <w:t>year</w:t>
      </w:r>
      <w:r w:rsidR="00E96A20" w:rsidRPr="00E55A42">
        <w:rPr>
          <w:bCs/>
        </w:rPr>
        <w:t>s</w:t>
      </w:r>
      <w:r w:rsidR="007D3518" w:rsidRPr="00E55A42">
        <w:rPr>
          <w:bCs/>
        </w:rPr>
        <w:t>!</w:t>
      </w:r>
    </w:p>
    <w:p w14:paraId="24F35064" w14:textId="77777777" w:rsidR="00AC449A" w:rsidRDefault="00AC449A">
      <w:pPr>
        <w:pStyle w:val="NoSpacing"/>
        <w:spacing w:after="240" w:line="276" w:lineRule="auto"/>
        <w:jc w:val="both"/>
        <w:rPr>
          <w:bCs/>
        </w:rPr>
      </w:pPr>
    </w:p>
    <w:p w14:paraId="375A8450" w14:textId="1C138274" w:rsidR="00107F9E" w:rsidRPr="00E55A42" w:rsidRDefault="00107F9E" w:rsidP="00915594">
      <w:pPr>
        <w:pStyle w:val="NoSpacing"/>
        <w:spacing w:after="240" w:line="276" w:lineRule="auto"/>
        <w:jc w:val="both"/>
        <w:rPr>
          <w:bCs/>
        </w:rPr>
      </w:pPr>
      <w:r>
        <w:rPr>
          <w:bCs/>
        </w:rPr>
        <w:t>[</w:t>
      </w:r>
      <w:proofErr w:type="spellStart"/>
      <w:r>
        <w:rPr>
          <w:bCs/>
        </w:rPr>
        <w:t>subhed</w:t>
      </w:r>
      <w:proofErr w:type="spellEnd"/>
      <w:r>
        <w:rPr>
          <w:bCs/>
        </w:rPr>
        <w:t xml:space="preserve">] </w:t>
      </w:r>
      <w:r w:rsidR="00250085">
        <w:rPr>
          <w:bCs/>
        </w:rPr>
        <w:t>Closing the gap between perception and reality</w:t>
      </w:r>
    </w:p>
    <w:p w14:paraId="25E858C4" w14:textId="081FA7BF" w:rsidR="00DE1DE7" w:rsidRPr="00E55A42" w:rsidRDefault="007D3518" w:rsidP="00915594">
      <w:pPr>
        <w:pStyle w:val="NoSpacing"/>
        <w:spacing w:after="240" w:line="276" w:lineRule="auto"/>
        <w:jc w:val="both"/>
        <w:rPr>
          <w:bCs/>
        </w:rPr>
      </w:pPr>
      <w:r w:rsidRPr="00E55A42">
        <w:rPr>
          <w:bCs/>
        </w:rPr>
        <w:t xml:space="preserve">The reasons for the variance between </w:t>
      </w:r>
      <w:r w:rsidR="0042539B" w:rsidRPr="00E55A42">
        <w:rPr>
          <w:bCs/>
        </w:rPr>
        <w:t>actual versus “expected” movements in gain/loss needs a more in-depth dialogue than can</w:t>
      </w:r>
      <w:r w:rsidR="00574717" w:rsidRPr="00E55A42">
        <w:rPr>
          <w:bCs/>
        </w:rPr>
        <w:t xml:space="preserve"> be</w:t>
      </w:r>
      <w:r w:rsidR="0042539B" w:rsidRPr="00E55A42">
        <w:rPr>
          <w:bCs/>
        </w:rPr>
        <w:t xml:space="preserve"> provide</w:t>
      </w:r>
      <w:r w:rsidR="00574717" w:rsidRPr="00E55A42">
        <w:rPr>
          <w:bCs/>
        </w:rPr>
        <w:t>d</w:t>
      </w:r>
      <w:r w:rsidR="0042539B" w:rsidRPr="00E55A42">
        <w:rPr>
          <w:bCs/>
        </w:rPr>
        <w:t xml:space="preserve"> in </w:t>
      </w:r>
      <w:r w:rsidR="009B1CE5">
        <w:rPr>
          <w:bCs/>
        </w:rPr>
        <w:t xml:space="preserve">this issue’s </w:t>
      </w:r>
      <w:r w:rsidR="0042539B" w:rsidRPr="00E55A42">
        <w:rPr>
          <w:bCs/>
        </w:rPr>
        <w:t xml:space="preserve">column, but </w:t>
      </w:r>
      <w:r w:rsidR="009B1CE5">
        <w:rPr>
          <w:bCs/>
        </w:rPr>
        <w:t xml:space="preserve">it </w:t>
      </w:r>
      <w:r w:rsidR="0042539B" w:rsidRPr="00E55A42">
        <w:rPr>
          <w:bCs/>
        </w:rPr>
        <w:t xml:space="preserve">largely boils down to </w:t>
      </w:r>
      <w:r w:rsidR="0042539B" w:rsidRPr="00E55A42">
        <w:rPr>
          <w:bCs/>
        </w:rPr>
        <w:lastRenderedPageBreak/>
        <w:t xml:space="preserve">the fact that market price improves at a considerably slower rate than </w:t>
      </w:r>
      <w:r w:rsidR="00F95EAF" w:rsidRPr="00E55A42">
        <w:rPr>
          <w:bCs/>
        </w:rPr>
        <w:t xml:space="preserve">the simple, duration-based calculation would suggest. </w:t>
      </w:r>
      <w:r w:rsidR="00E96A20" w:rsidRPr="00E55A42">
        <w:rPr>
          <w:bCs/>
        </w:rPr>
        <w:t xml:space="preserve">Though percentage loss does improve each year in this example, </w:t>
      </w:r>
      <w:r w:rsidR="00496D22" w:rsidRPr="00E55A42">
        <w:rPr>
          <w:bCs/>
        </w:rPr>
        <w:t>the slow pace of improvement</w:t>
      </w:r>
      <w:r w:rsidR="00E96A20" w:rsidRPr="00E55A42">
        <w:rPr>
          <w:bCs/>
        </w:rPr>
        <w:t xml:space="preserve"> suggests that </w:t>
      </w:r>
      <w:r w:rsidR="00496D22" w:rsidRPr="00E55A42">
        <w:rPr>
          <w:bCs/>
        </w:rPr>
        <w:t>reductions</w:t>
      </w:r>
      <w:r w:rsidR="00E96A20" w:rsidRPr="00E55A42">
        <w:rPr>
          <w:bCs/>
        </w:rPr>
        <w:t xml:space="preserve"> in the dollar value of mark-to-market losses are primarily driven by principal paydowns rather than price </w:t>
      </w:r>
      <w:r w:rsidR="00496D22" w:rsidRPr="00E55A42">
        <w:rPr>
          <w:bCs/>
        </w:rPr>
        <w:t>appreciation</w:t>
      </w:r>
      <w:r w:rsidR="00E96A20" w:rsidRPr="00E55A42">
        <w:rPr>
          <w:bCs/>
        </w:rPr>
        <w:t>.</w:t>
      </w:r>
    </w:p>
    <w:p w14:paraId="02D793BA" w14:textId="0455AD69" w:rsidR="00ED4B08" w:rsidRDefault="00C161FD">
      <w:pPr>
        <w:pStyle w:val="NoSpacing"/>
        <w:spacing w:after="240" w:line="276" w:lineRule="auto"/>
        <w:jc w:val="both"/>
        <w:rPr>
          <w:bCs/>
        </w:rPr>
      </w:pPr>
      <w:r>
        <w:rPr>
          <w:bCs/>
        </w:rPr>
        <w:t>T</w:t>
      </w:r>
      <w:r w:rsidR="00574717" w:rsidRPr="00E55A42">
        <w:rPr>
          <w:bCs/>
        </w:rPr>
        <w:t xml:space="preserve">he </w:t>
      </w:r>
      <w:r w:rsidR="005218EE" w:rsidRPr="00E55A42">
        <w:rPr>
          <w:bCs/>
        </w:rPr>
        <w:t xml:space="preserve">relative importance of longer-than-anticipated mark-to-market persistence will </w:t>
      </w:r>
      <w:r w:rsidR="00785EBE" w:rsidRPr="00E55A42">
        <w:rPr>
          <w:bCs/>
        </w:rPr>
        <w:t>depend on many factors specific to your institution</w:t>
      </w:r>
      <w:r>
        <w:rPr>
          <w:bCs/>
        </w:rPr>
        <w:t>—</w:t>
      </w:r>
      <w:r w:rsidR="00785EBE" w:rsidRPr="00E55A42">
        <w:rPr>
          <w:bCs/>
        </w:rPr>
        <w:t>risk tolerance, capital and liquidity positions, profitability outlook, and interest rate risk profile, to name a few</w:t>
      </w:r>
      <w:r>
        <w:rPr>
          <w:bCs/>
        </w:rPr>
        <w:t>—</w:t>
      </w:r>
      <w:r w:rsidR="00785EBE" w:rsidRPr="00E55A42">
        <w:rPr>
          <w:bCs/>
        </w:rPr>
        <w:t xml:space="preserve">as well as </w:t>
      </w:r>
      <w:r w:rsidR="00AC0C5E" w:rsidRPr="00E55A42">
        <w:rPr>
          <w:bCs/>
        </w:rPr>
        <w:t>market factors</w:t>
      </w:r>
      <w:r w:rsidR="00785EBE" w:rsidRPr="00E55A42">
        <w:rPr>
          <w:bCs/>
        </w:rPr>
        <w:t xml:space="preserve"> that are beyond your control</w:t>
      </w:r>
      <w:r>
        <w:rPr>
          <w:bCs/>
        </w:rPr>
        <w:t>. However,</w:t>
      </w:r>
      <w:r w:rsidR="00785EBE" w:rsidRPr="00E55A42">
        <w:rPr>
          <w:bCs/>
        </w:rPr>
        <w:t xml:space="preserve"> </w:t>
      </w:r>
      <w:r w:rsidR="00AC0C5E" w:rsidRPr="00E55A42">
        <w:rPr>
          <w:bCs/>
        </w:rPr>
        <w:t xml:space="preserve">a better understanding of the portfolio’s trajectory is a crucial first step in evaluating appropriate responses. </w:t>
      </w:r>
      <w:r w:rsidR="00F05824" w:rsidRPr="00E55A42">
        <w:rPr>
          <w:bCs/>
        </w:rPr>
        <w:t>And with that burden lifted, you can spend more time thinking about the next family road trip</w:t>
      </w:r>
      <w:r w:rsidR="009B1CE5">
        <w:rPr>
          <w:bCs/>
        </w:rPr>
        <w:t>.</w:t>
      </w:r>
    </w:p>
    <w:p w14:paraId="7272BA36" w14:textId="77777777" w:rsidR="009B1CE5" w:rsidRDefault="009B1CE5" w:rsidP="00915594">
      <w:pPr>
        <w:pStyle w:val="NoSpacing"/>
        <w:spacing w:after="240" w:line="276" w:lineRule="auto"/>
        <w:jc w:val="both"/>
        <w:rPr>
          <w:bCs/>
        </w:rPr>
      </w:pPr>
    </w:p>
    <w:p w14:paraId="331CC625" w14:textId="2304637B" w:rsidR="00E55A42" w:rsidRDefault="00E55A42" w:rsidP="00915594">
      <w:pPr>
        <w:pStyle w:val="NoSpacing"/>
        <w:spacing w:after="240" w:line="276" w:lineRule="auto"/>
        <w:jc w:val="both"/>
        <w:rPr>
          <w:bCs/>
        </w:rPr>
      </w:pPr>
      <w:r w:rsidRPr="00915594">
        <w:rPr>
          <w:b/>
        </w:rPr>
        <w:t>Michael Benedict</w:t>
      </w:r>
      <w:r>
        <w:rPr>
          <w:bCs/>
        </w:rPr>
        <w:t xml:space="preserve"> is a managing director, fixed income strateg</w:t>
      </w:r>
      <w:r w:rsidR="00915594">
        <w:rPr>
          <w:bCs/>
        </w:rPr>
        <w:t>ies</w:t>
      </w:r>
      <w:r>
        <w:rPr>
          <w:bCs/>
        </w:rPr>
        <w:t>, at Stifel, ICBA Securities’ exclusively endorsed broker.</w:t>
      </w:r>
    </w:p>
    <w:p w14:paraId="36799C52" w14:textId="4455D9EB" w:rsidR="00E55A42" w:rsidRPr="00E55A42" w:rsidRDefault="00E55A42" w:rsidP="00915594">
      <w:pPr>
        <w:pStyle w:val="NoSpacing"/>
        <w:spacing w:after="240" w:line="276" w:lineRule="auto"/>
        <w:jc w:val="both"/>
        <w:rPr>
          <w:bCs/>
        </w:rPr>
      </w:pPr>
      <w:r>
        <w:rPr>
          <w:bCs/>
        </w:rPr>
        <w:t>[ends]</w:t>
      </w:r>
    </w:p>
    <w:p w14:paraId="3001DA21" w14:textId="77777777" w:rsidR="00E55A42" w:rsidRPr="00E55A42" w:rsidRDefault="00E55A42" w:rsidP="00915594">
      <w:pPr>
        <w:pStyle w:val="NoSpacing"/>
        <w:spacing w:after="240" w:line="276" w:lineRule="auto"/>
        <w:jc w:val="both"/>
        <w:rPr>
          <w:bCs/>
        </w:rPr>
      </w:pPr>
    </w:p>
    <w:p w14:paraId="7E13E17C" w14:textId="66E57975" w:rsidR="00E55A42" w:rsidRPr="00915594" w:rsidRDefault="00E55A42" w:rsidP="00915594">
      <w:pPr>
        <w:pStyle w:val="NoSpacing"/>
        <w:spacing w:after="240" w:line="276" w:lineRule="auto"/>
        <w:jc w:val="center"/>
        <w:rPr>
          <w:bCs/>
        </w:rPr>
      </w:pPr>
      <w:r w:rsidRPr="00915594">
        <w:rPr>
          <w:bCs/>
        </w:rPr>
        <w:t xml:space="preserve">Figure 1 – Overview of </w:t>
      </w:r>
      <w:r w:rsidR="009B1CE5">
        <w:rPr>
          <w:bCs/>
        </w:rPr>
        <w:t>s</w:t>
      </w:r>
      <w:r w:rsidRPr="00915594">
        <w:rPr>
          <w:bCs/>
        </w:rPr>
        <w:t xml:space="preserve">ample </w:t>
      </w:r>
      <w:r w:rsidR="009B1CE5">
        <w:rPr>
          <w:bCs/>
        </w:rPr>
        <w:t>p</w:t>
      </w:r>
      <w:r w:rsidRPr="00915594">
        <w:rPr>
          <w:bCs/>
        </w:rPr>
        <w:t>ortfolio</w:t>
      </w:r>
    </w:p>
    <w:p w14:paraId="5BBE45E2" w14:textId="77777777" w:rsidR="00E55A42" w:rsidRPr="00915594" w:rsidRDefault="00E55A42" w:rsidP="00915594">
      <w:pPr>
        <w:pStyle w:val="NoSpacing"/>
        <w:spacing w:after="240" w:line="276" w:lineRule="auto"/>
        <w:jc w:val="center"/>
        <w:rPr>
          <w:bCs/>
        </w:rPr>
      </w:pPr>
    </w:p>
    <w:p w14:paraId="2D8BE843" w14:textId="77777777" w:rsidR="00E55A42" w:rsidRPr="00915594" w:rsidRDefault="00E55A42" w:rsidP="00915594">
      <w:pPr>
        <w:pStyle w:val="NoSpacing"/>
        <w:spacing w:after="240" w:line="276" w:lineRule="auto"/>
        <w:jc w:val="center"/>
        <w:rPr>
          <w:bCs/>
        </w:rPr>
      </w:pPr>
      <w:r w:rsidRPr="00915594">
        <w:rPr>
          <w:bCs/>
          <w:noProof/>
        </w:rPr>
        <w:drawing>
          <wp:inline distT="0" distB="0" distL="0" distR="0" wp14:anchorId="6B5A2129" wp14:editId="2DD680BF">
            <wp:extent cx="2514600" cy="2057400"/>
            <wp:effectExtent l="0" t="0" r="0" b="0"/>
            <wp:docPr id="950129175" name="Picture 950129175" descr="A screen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29175" name="Picture 950129175" descr="A screenshot of a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A5E3C" w14:textId="2DDE9574" w:rsidR="00B212EA" w:rsidRPr="00E55A42" w:rsidRDefault="00B212EA" w:rsidP="00915594">
      <w:pPr>
        <w:pStyle w:val="NoSpacing"/>
        <w:spacing w:after="240" w:line="276" w:lineRule="auto"/>
        <w:jc w:val="both"/>
        <w:rPr>
          <w:bCs/>
        </w:rPr>
      </w:pPr>
      <w:r>
        <w:t>Portfolio priced as of 3/31/2024</w:t>
      </w:r>
    </w:p>
    <w:p w14:paraId="521089C1" w14:textId="77777777" w:rsidR="009B1CE5" w:rsidRDefault="009B1CE5">
      <w:pPr>
        <w:pStyle w:val="NoSpacing"/>
        <w:spacing w:after="240" w:line="276" w:lineRule="auto"/>
        <w:jc w:val="center"/>
        <w:rPr>
          <w:bCs/>
        </w:rPr>
      </w:pPr>
    </w:p>
    <w:p w14:paraId="7C8B9EA6" w14:textId="32C6817C" w:rsidR="00E55A42" w:rsidRPr="00915594" w:rsidRDefault="00E55A42" w:rsidP="00915594">
      <w:pPr>
        <w:pStyle w:val="NoSpacing"/>
        <w:spacing w:after="240" w:line="276" w:lineRule="auto"/>
        <w:jc w:val="center"/>
        <w:rPr>
          <w:bCs/>
        </w:rPr>
      </w:pPr>
      <w:r w:rsidRPr="00915594">
        <w:rPr>
          <w:bCs/>
        </w:rPr>
        <w:t xml:space="preserve">Figure 2 – Horizon </w:t>
      </w:r>
      <w:r w:rsidR="009B1CE5">
        <w:rPr>
          <w:bCs/>
        </w:rPr>
        <w:t>p</w:t>
      </w:r>
      <w:r w:rsidRPr="00915594">
        <w:rPr>
          <w:bCs/>
        </w:rPr>
        <w:t xml:space="preserve">rojections for </w:t>
      </w:r>
      <w:r w:rsidR="009B1CE5">
        <w:rPr>
          <w:bCs/>
        </w:rPr>
        <w:t>s</w:t>
      </w:r>
      <w:r w:rsidRPr="00915594">
        <w:rPr>
          <w:bCs/>
        </w:rPr>
        <w:t xml:space="preserve">ample </w:t>
      </w:r>
      <w:r w:rsidR="009B1CE5">
        <w:rPr>
          <w:bCs/>
        </w:rPr>
        <w:t>p</w:t>
      </w:r>
      <w:r w:rsidRPr="00915594">
        <w:rPr>
          <w:bCs/>
        </w:rPr>
        <w:t>ortfolio</w:t>
      </w:r>
    </w:p>
    <w:p w14:paraId="135235CD" w14:textId="77777777" w:rsidR="00E55A42" w:rsidRPr="00915594" w:rsidRDefault="00E55A42" w:rsidP="00915594">
      <w:pPr>
        <w:pStyle w:val="NoSpacing"/>
        <w:spacing w:after="240" w:line="276" w:lineRule="auto"/>
        <w:jc w:val="center"/>
        <w:rPr>
          <w:bCs/>
        </w:rPr>
      </w:pPr>
      <w:r w:rsidRPr="00915594">
        <w:rPr>
          <w:bCs/>
          <w:noProof/>
        </w:rPr>
        <w:lastRenderedPageBreak/>
        <w:drawing>
          <wp:inline distT="0" distB="0" distL="0" distR="0" wp14:anchorId="53E6C620" wp14:editId="574B8C7F">
            <wp:extent cx="3657600" cy="1901952"/>
            <wp:effectExtent l="0" t="0" r="0" b="3175"/>
            <wp:docPr id="1925413714" name="Picture 192541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AF3B" w14:textId="68197B8A" w:rsidR="00E55A42" w:rsidRDefault="00B212EA" w:rsidP="00915594">
      <w:pPr>
        <w:pStyle w:val="NoSpacing"/>
        <w:spacing w:after="240"/>
        <w:jc w:val="both"/>
      </w:pPr>
      <w:r>
        <w:t>Assumes a static interest rate environment, holds Book Price constant and estimates horizon price using constant OAS.</w:t>
      </w:r>
    </w:p>
    <w:sectPr w:rsidR="00E55A42" w:rsidSect="00915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DABCE" w14:textId="77777777" w:rsidR="00790635" w:rsidRDefault="00790635" w:rsidP="00E703EC">
      <w:pPr>
        <w:spacing w:after="0" w:line="240" w:lineRule="auto"/>
      </w:pPr>
      <w:r>
        <w:separator/>
      </w:r>
    </w:p>
  </w:endnote>
  <w:endnote w:type="continuationSeparator" w:id="0">
    <w:p w14:paraId="4CE9982B" w14:textId="77777777" w:rsidR="00790635" w:rsidRDefault="00790635" w:rsidP="00E7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55893" w14:textId="77777777" w:rsidR="00790635" w:rsidRDefault="00790635" w:rsidP="00E703EC">
      <w:pPr>
        <w:spacing w:after="0" w:line="240" w:lineRule="auto"/>
      </w:pPr>
      <w:r>
        <w:separator/>
      </w:r>
    </w:p>
  </w:footnote>
  <w:footnote w:type="continuationSeparator" w:id="0">
    <w:p w14:paraId="6DE1C5AF" w14:textId="77777777" w:rsidR="00790635" w:rsidRDefault="00790635" w:rsidP="00E70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1E6"/>
    <w:multiLevelType w:val="hybridMultilevel"/>
    <w:tmpl w:val="6B4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26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F9"/>
    <w:rsid w:val="00002996"/>
    <w:rsid w:val="00007530"/>
    <w:rsid w:val="000119C8"/>
    <w:rsid w:val="000356A3"/>
    <w:rsid w:val="00042019"/>
    <w:rsid w:val="000760F1"/>
    <w:rsid w:val="000A241D"/>
    <w:rsid w:val="000B7062"/>
    <w:rsid w:val="00107F9E"/>
    <w:rsid w:val="00126834"/>
    <w:rsid w:val="00152CE4"/>
    <w:rsid w:val="001821B6"/>
    <w:rsid w:val="00190A5B"/>
    <w:rsid w:val="001924C2"/>
    <w:rsid w:val="001A6920"/>
    <w:rsid w:val="001F3FE3"/>
    <w:rsid w:val="002409B8"/>
    <w:rsid w:val="00242E5E"/>
    <w:rsid w:val="00250085"/>
    <w:rsid w:val="002E22E8"/>
    <w:rsid w:val="0030279F"/>
    <w:rsid w:val="0034350F"/>
    <w:rsid w:val="00393578"/>
    <w:rsid w:val="003B0074"/>
    <w:rsid w:val="003C60EA"/>
    <w:rsid w:val="003E102C"/>
    <w:rsid w:val="003E11B1"/>
    <w:rsid w:val="004009B5"/>
    <w:rsid w:val="00400CF0"/>
    <w:rsid w:val="00400D81"/>
    <w:rsid w:val="0042539B"/>
    <w:rsid w:val="004608BC"/>
    <w:rsid w:val="00496CE4"/>
    <w:rsid w:val="00496D22"/>
    <w:rsid w:val="004D585F"/>
    <w:rsid w:val="004E5C3A"/>
    <w:rsid w:val="00500A89"/>
    <w:rsid w:val="005218EE"/>
    <w:rsid w:val="00530EBD"/>
    <w:rsid w:val="00536CCA"/>
    <w:rsid w:val="00564204"/>
    <w:rsid w:val="00574717"/>
    <w:rsid w:val="00574DBC"/>
    <w:rsid w:val="005C3979"/>
    <w:rsid w:val="00602E37"/>
    <w:rsid w:val="00644498"/>
    <w:rsid w:val="006572F8"/>
    <w:rsid w:val="00681FAA"/>
    <w:rsid w:val="006C0EFF"/>
    <w:rsid w:val="00762D2D"/>
    <w:rsid w:val="00773541"/>
    <w:rsid w:val="00785EBE"/>
    <w:rsid w:val="00790635"/>
    <w:rsid w:val="007D232A"/>
    <w:rsid w:val="007D3518"/>
    <w:rsid w:val="008813D3"/>
    <w:rsid w:val="00883231"/>
    <w:rsid w:val="008860C6"/>
    <w:rsid w:val="008D4DDC"/>
    <w:rsid w:val="008E266B"/>
    <w:rsid w:val="00915594"/>
    <w:rsid w:val="009B1CE5"/>
    <w:rsid w:val="00A15B00"/>
    <w:rsid w:val="00A54221"/>
    <w:rsid w:val="00A77F54"/>
    <w:rsid w:val="00AA0E73"/>
    <w:rsid w:val="00AB6902"/>
    <w:rsid w:val="00AC0C5E"/>
    <w:rsid w:val="00AC449A"/>
    <w:rsid w:val="00AF1BC1"/>
    <w:rsid w:val="00AF54B9"/>
    <w:rsid w:val="00B212EA"/>
    <w:rsid w:val="00B30061"/>
    <w:rsid w:val="00B40C2A"/>
    <w:rsid w:val="00B42388"/>
    <w:rsid w:val="00BC7907"/>
    <w:rsid w:val="00C161FD"/>
    <w:rsid w:val="00C21FBC"/>
    <w:rsid w:val="00CF42F9"/>
    <w:rsid w:val="00D002AE"/>
    <w:rsid w:val="00D21378"/>
    <w:rsid w:val="00D513A9"/>
    <w:rsid w:val="00D91737"/>
    <w:rsid w:val="00DA7BA4"/>
    <w:rsid w:val="00DD3954"/>
    <w:rsid w:val="00DE1978"/>
    <w:rsid w:val="00DE1DE7"/>
    <w:rsid w:val="00E04A9F"/>
    <w:rsid w:val="00E55A42"/>
    <w:rsid w:val="00E703EC"/>
    <w:rsid w:val="00E82C9F"/>
    <w:rsid w:val="00E96A20"/>
    <w:rsid w:val="00EB5CCA"/>
    <w:rsid w:val="00ED4B08"/>
    <w:rsid w:val="00EF1AFB"/>
    <w:rsid w:val="00EF5164"/>
    <w:rsid w:val="00F045D9"/>
    <w:rsid w:val="00F05824"/>
    <w:rsid w:val="00F35076"/>
    <w:rsid w:val="00F95EAF"/>
    <w:rsid w:val="00F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70731"/>
  <w15:chartTrackingRefBased/>
  <w15:docId w15:val="{19B9C04F-D343-4720-ABDC-ABE6C13E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BC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03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3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3E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2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2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35076"/>
    <w:pPr>
      <w:spacing w:after="0" w:line="240" w:lineRule="auto"/>
    </w:pPr>
  </w:style>
  <w:style w:type="character" w:customStyle="1" w:styleId="ICBAbold">
    <w:name w:val="ICBA bold"/>
    <w:rsid w:val="00E55A4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A4D2-A413-4D14-BFC9-B29D1264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Stifel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Benedict, Michael (Seattle)</dc:creator>
  <cp:keywords/>
  <dc:description/>
  <cp:lastModifiedBy>Rachel Hatcher</cp:lastModifiedBy>
  <cp:revision>5</cp:revision>
  <dcterms:created xsi:type="dcterms:W3CDTF">2024-05-28T14:12:00Z</dcterms:created>
  <dcterms:modified xsi:type="dcterms:W3CDTF">2024-05-29T16:06:00Z</dcterms:modified>
</cp:coreProperties>
</file>