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7D90" w14:textId="2629EC35" w:rsidR="00422CCA" w:rsidRDefault="00422CCA" w:rsidP="00422CCA">
      <w:r>
        <w:t>Independent Banker</w:t>
      </w:r>
    </w:p>
    <w:p w14:paraId="3A2FF4E2" w14:textId="19928FD3" w:rsidR="00422CCA" w:rsidRDefault="00422CCA" w:rsidP="00422CCA">
      <w:r>
        <w:t>January 2025</w:t>
      </w:r>
    </w:p>
    <w:p w14:paraId="564A1FCA" w14:textId="030B175B" w:rsidR="00422CCA" w:rsidRDefault="00422CCA" w:rsidP="00422CCA">
      <w:r>
        <w:t>Portfolio</w:t>
      </w:r>
    </w:p>
    <w:p w14:paraId="3CB7392C" w14:textId="527E7D60" w:rsidR="00422CCA" w:rsidRDefault="00422CCA" w:rsidP="00422CCA">
      <w:r>
        <w:t>[tag] Portfolio Management</w:t>
      </w:r>
    </w:p>
    <w:p w14:paraId="6DCED5CB" w14:textId="6B381B5A" w:rsidR="00B43D0C" w:rsidRDefault="00422CCA" w:rsidP="00422CCA">
      <w:r>
        <w:t>[</w:t>
      </w:r>
      <w:proofErr w:type="spellStart"/>
      <w:r>
        <w:t>hed</w:t>
      </w:r>
      <w:proofErr w:type="spellEnd"/>
      <w:r>
        <w:t xml:space="preserve">] </w:t>
      </w:r>
      <w:r w:rsidR="00B43D0C" w:rsidRPr="00422CCA">
        <w:t>Mak</w:t>
      </w:r>
      <w:r w:rsidR="00726717" w:rsidRPr="00422CCA">
        <w:t>e</w:t>
      </w:r>
      <w:r w:rsidR="00B43D0C" w:rsidRPr="00422CCA">
        <w:t xml:space="preserve"> </w:t>
      </w:r>
      <w:r>
        <w:t>p</w:t>
      </w:r>
      <w:r w:rsidR="00B43D0C" w:rsidRPr="00422CCA">
        <w:t xml:space="preserve">ortfolio </w:t>
      </w:r>
      <w:r>
        <w:t>s</w:t>
      </w:r>
      <w:r w:rsidR="00B43D0C" w:rsidRPr="00422CCA">
        <w:t xml:space="preserve">trategy </w:t>
      </w:r>
      <w:r>
        <w:t>f</w:t>
      </w:r>
      <w:r w:rsidR="00B43D0C" w:rsidRPr="00422CCA">
        <w:t xml:space="preserve">un </w:t>
      </w:r>
      <w:r>
        <w:t>a</w:t>
      </w:r>
      <w:r w:rsidR="00B43D0C" w:rsidRPr="00422CCA">
        <w:t>gain</w:t>
      </w:r>
    </w:p>
    <w:p w14:paraId="69AB4F81" w14:textId="5CAEC288" w:rsidR="00422CCA" w:rsidRDefault="00422CCA" w:rsidP="00422CCA">
      <w:r>
        <w:t>[</w:t>
      </w:r>
      <w:proofErr w:type="spellStart"/>
      <w:r>
        <w:t>dek</w:t>
      </w:r>
      <w:proofErr w:type="spellEnd"/>
      <w:r>
        <w:t>]</w:t>
      </w:r>
      <w:r w:rsidR="00BC6360">
        <w:t xml:space="preserve"> Things are looking up for portfolio management in 2025.</w:t>
      </w:r>
    </w:p>
    <w:p w14:paraId="6E41392B" w14:textId="528A09E8" w:rsidR="00422CCA" w:rsidRPr="00422CCA" w:rsidRDefault="00422CCA" w:rsidP="00422CCA">
      <w:r>
        <w:t>[byline] By Michael Benedict, Stifel</w:t>
      </w:r>
    </w:p>
    <w:p w14:paraId="6816D893" w14:textId="4FD76AE6" w:rsidR="00152CE4" w:rsidRPr="00422CCA" w:rsidRDefault="00422CCA" w:rsidP="00422CCA">
      <w:r>
        <w:t>[body]</w:t>
      </w:r>
    </w:p>
    <w:p w14:paraId="27ACEE9B" w14:textId="7A490FFA" w:rsidR="00B04008" w:rsidRPr="00422CCA" w:rsidRDefault="00474A2B" w:rsidP="00422CCA">
      <w:r w:rsidRPr="00422CCA">
        <w:t xml:space="preserve">As the calendar flips to 2025, portfolio managers may find themselves asking what </w:t>
      </w:r>
      <w:r w:rsidR="003E3994" w:rsidRPr="00422CCA">
        <w:t xml:space="preserve">sort of opportunities the new year could bring. While nobody has a crystal ball, it does seem </w:t>
      </w:r>
      <w:proofErr w:type="gramStart"/>
      <w:r w:rsidR="003E3994" w:rsidRPr="00422CCA">
        <w:t>fairly clear</w:t>
      </w:r>
      <w:proofErr w:type="gramEnd"/>
      <w:r w:rsidR="003E3994" w:rsidRPr="00422CCA">
        <w:t xml:space="preserve"> that this year will be different from (and hopefully better than) the </w:t>
      </w:r>
      <w:r w:rsidR="00BC6360">
        <w:t>p</w:t>
      </w:r>
      <w:r w:rsidR="003E3994" w:rsidRPr="00422CCA">
        <w:t>ast.</w:t>
      </w:r>
    </w:p>
    <w:p w14:paraId="487924DB" w14:textId="6412C089" w:rsidR="00C64FF6" w:rsidRPr="00422CCA" w:rsidRDefault="00B04008" w:rsidP="00422CCA">
      <w:r w:rsidRPr="00422CCA">
        <w:t xml:space="preserve">With any luck, a more favorable interest rate environment will be a key part of that. </w:t>
      </w:r>
      <w:r w:rsidR="00C64FF6" w:rsidRPr="00422CCA">
        <w:t xml:space="preserve">After remaining inverted for more than </w:t>
      </w:r>
      <w:r w:rsidR="00BC6360">
        <w:t>two</w:t>
      </w:r>
      <w:r w:rsidR="00C64FF6" w:rsidRPr="00422CCA">
        <w:t xml:space="preserve"> years, the spread between </w:t>
      </w:r>
      <w:r w:rsidR="00422CCA">
        <w:t>two</w:t>
      </w:r>
      <w:r w:rsidR="008074CB" w:rsidRPr="00422CCA">
        <w:t>-</w:t>
      </w:r>
      <w:r w:rsidR="00422CCA">
        <w:t>y</w:t>
      </w:r>
      <w:r w:rsidR="00C64FF6" w:rsidRPr="00422CCA">
        <w:t>ear and 10</w:t>
      </w:r>
      <w:r w:rsidR="008074CB" w:rsidRPr="00422CCA">
        <w:t>-</w:t>
      </w:r>
      <w:r w:rsidR="00422CCA">
        <w:t>y</w:t>
      </w:r>
      <w:r w:rsidR="00C64FF6" w:rsidRPr="00422CCA">
        <w:t>ear Treasury notes</w:t>
      </w:r>
      <w:r w:rsidR="00422CCA">
        <w:t xml:space="preserve">, </w:t>
      </w:r>
      <w:r w:rsidR="00C64FF6" w:rsidRPr="00422CCA">
        <w:t xml:space="preserve">commonly referred to as the </w:t>
      </w:r>
      <w:r w:rsidR="00942C67" w:rsidRPr="00422CCA">
        <w:t>“</w:t>
      </w:r>
      <w:r w:rsidR="00C64FF6" w:rsidRPr="00422CCA">
        <w:t>2s/10s spread</w:t>
      </w:r>
      <w:r w:rsidR="00422CCA">
        <w:t>,</w:t>
      </w:r>
      <w:r w:rsidR="00942C67" w:rsidRPr="00422CCA">
        <w:t>”</w:t>
      </w:r>
      <w:r w:rsidR="00422CCA">
        <w:t xml:space="preserve"> </w:t>
      </w:r>
      <w:r w:rsidR="00C64FF6" w:rsidRPr="00422CCA">
        <w:t xml:space="preserve">finally returned to positive territory </w:t>
      </w:r>
      <w:r w:rsidR="008E5598" w:rsidRPr="00422CCA">
        <w:t>several</w:t>
      </w:r>
      <w:r w:rsidR="00C64FF6" w:rsidRPr="00422CCA">
        <w:t xml:space="preserve"> days before the </w:t>
      </w:r>
      <w:r w:rsidRPr="00422CCA">
        <w:t xml:space="preserve">Federal Reserve </w:t>
      </w:r>
      <w:r w:rsidR="00C64FF6" w:rsidRPr="00422CCA">
        <w:t>began</w:t>
      </w:r>
      <w:r w:rsidRPr="00422CCA">
        <w:t xml:space="preserve"> </w:t>
      </w:r>
      <w:r w:rsidR="008E5598" w:rsidRPr="00422CCA">
        <w:t>its</w:t>
      </w:r>
      <w:r w:rsidRPr="00422CCA">
        <w:t xml:space="preserve"> easing cycle in September</w:t>
      </w:r>
      <w:r w:rsidR="00C64FF6" w:rsidRPr="00422CCA">
        <w:t>.</w:t>
      </w:r>
      <w:r w:rsidRPr="00422CCA">
        <w:t xml:space="preserve"> It is no secret that an inverted</w:t>
      </w:r>
      <w:r w:rsidR="008E5598" w:rsidRPr="00422CCA">
        <w:t xml:space="preserve"> yield</w:t>
      </w:r>
      <w:r w:rsidRPr="00422CCA">
        <w:t xml:space="preserve"> curve is challenging for community banks, so a re-steepening of the curve</w:t>
      </w:r>
      <w:r w:rsidR="00422CCA">
        <w:t>—</w:t>
      </w:r>
      <w:r w:rsidRPr="00422CCA">
        <w:t>however modest it may be</w:t>
      </w:r>
      <w:r w:rsidR="00422CCA">
        <w:t>—</w:t>
      </w:r>
      <w:r w:rsidR="008E5598" w:rsidRPr="00422CCA">
        <w:t>goes</w:t>
      </w:r>
      <w:r w:rsidRPr="00422CCA">
        <w:t xml:space="preserve"> a long way toward easing </w:t>
      </w:r>
      <w:r w:rsidR="00C64FF6" w:rsidRPr="00422CCA">
        <w:t xml:space="preserve">profitability </w:t>
      </w:r>
      <w:r w:rsidRPr="00422CCA">
        <w:t xml:space="preserve">pressure </w:t>
      </w:r>
      <w:r w:rsidR="00C64FF6" w:rsidRPr="00422CCA">
        <w:t>for many across the industry</w:t>
      </w:r>
      <w:r w:rsidRPr="00422CCA">
        <w:t>.</w:t>
      </w:r>
    </w:p>
    <w:p w14:paraId="111D52B8" w14:textId="65C29307" w:rsidR="00B04008" w:rsidRPr="00422CCA" w:rsidRDefault="009C7674" w:rsidP="00422CCA">
      <w:r w:rsidRPr="00422CCA">
        <w:t xml:space="preserve">Though it seems quite likely that </w:t>
      </w:r>
      <w:r w:rsidR="008E5598" w:rsidRPr="00422CCA">
        <w:t>2025</w:t>
      </w:r>
      <w:r w:rsidRPr="00422CCA">
        <w:t xml:space="preserve"> will see a steeper yield curve than the year just ended, both the peak in curve slope and the </w:t>
      </w:r>
      <w:r w:rsidR="008E5598" w:rsidRPr="00422CCA">
        <w:t>path</w:t>
      </w:r>
      <w:r w:rsidRPr="00422CCA">
        <w:t xml:space="preserve"> interest rates take to reach that peak will </w:t>
      </w:r>
      <w:r w:rsidR="00C17A2E" w:rsidRPr="00422CCA">
        <w:t>influence</w:t>
      </w:r>
      <w:r w:rsidRPr="00422CCA">
        <w:t xml:space="preserve"> the decisions portfolio managers face throughout </w:t>
      </w:r>
      <w:r w:rsidR="00C17A2E" w:rsidRPr="00422CCA">
        <w:t>the year</w:t>
      </w:r>
      <w:r w:rsidRPr="00422CCA">
        <w:t>. However, given myriad</w:t>
      </w:r>
      <w:r w:rsidR="009106DB" w:rsidRPr="00422CCA">
        <w:t xml:space="preserve"> historic</w:t>
      </w:r>
      <w:r w:rsidRPr="00422CCA">
        <w:t xml:space="preserve"> </w:t>
      </w:r>
      <w:r w:rsidR="009106DB" w:rsidRPr="00422CCA">
        <w:t>challenges over the past several years</w:t>
      </w:r>
      <w:r w:rsidR="00422CCA">
        <w:t>—</w:t>
      </w:r>
      <w:r w:rsidR="009106DB" w:rsidRPr="00422CCA">
        <w:t xml:space="preserve">record-low interest rates, </w:t>
      </w:r>
      <w:r w:rsidR="00C17A2E" w:rsidRPr="00422CCA">
        <w:t>extreme variations in liquidity positioning</w:t>
      </w:r>
      <w:r w:rsidR="009106DB" w:rsidRPr="00422CCA">
        <w:t xml:space="preserve"> and the deepest curve inversion in 40 years</w:t>
      </w:r>
      <w:r w:rsidR="00422CCA">
        <w:t>, among others—</w:t>
      </w:r>
      <w:r w:rsidR="008074CB" w:rsidRPr="00422CCA">
        <w:t xml:space="preserve">the questions </w:t>
      </w:r>
      <w:r w:rsidR="00994A89" w:rsidRPr="00422CCA">
        <w:t>faced</w:t>
      </w:r>
      <w:r w:rsidR="008074CB" w:rsidRPr="00422CCA">
        <w:t xml:space="preserve"> today may feel like a welcome return to normal for many portfolio managers.</w:t>
      </w:r>
    </w:p>
    <w:p w14:paraId="63CAECDE" w14:textId="7AEDF35C" w:rsidR="002C2217" w:rsidRPr="00422CCA" w:rsidRDefault="002C2217" w:rsidP="00422CCA"/>
    <w:p w14:paraId="700380DC" w14:textId="673821B6" w:rsidR="00590F51" w:rsidRPr="00422CCA" w:rsidRDefault="00422CCA" w:rsidP="00422CCA">
      <w:r>
        <w:t>[</w:t>
      </w:r>
      <w:proofErr w:type="spellStart"/>
      <w:r>
        <w:t>subhed</w:t>
      </w:r>
      <w:proofErr w:type="spellEnd"/>
      <w:r>
        <w:t xml:space="preserve">] </w:t>
      </w:r>
      <w:r w:rsidR="008074CB" w:rsidRPr="00422CCA">
        <w:t xml:space="preserve">Cycles in the </w:t>
      </w:r>
      <w:r>
        <w:t>y</w:t>
      </w:r>
      <w:r w:rsidR="008074CB" w:rsidRPr="00422CCA">
        <w:t xml:space="preserve">ield </w:t>
      </w:r>
      <w:r>
        <w:t>c</w:t>
      </w:r>
      <w:r w:rsidR="008074CB" w:rsidRPr="00422CCA">
        <w:t>urve</w:t>
      </w:r>
    </w:p>
    <w:p w14:paraId="35DBD1FA" w14:textId="53E29FCF" w:rsidR="00DF1003" w:rsidRPr="00422CCA" w:rsidRDefault="008074CB" w:rsidP="00422CCA">
      <w:r w:rsidRPr="00422CCA">
        <w:t xml:space="preserve">The 2s/10s spread is one of the </w:t>
      </w:r>
      <w:proofErr w:type="gramStart"/>
      <w:r w:rsidRPr="00422CCA">
        <w:t>most commonly</w:t>
      </w:r>
      <w:r w:rsidR="00BC6360">
        <w:t xml:space="preserve"> </w:t>
      </w:r>
      <w:r w:rsidRPr="00422CCA">
        <w:t>cited</w:t>
      </w:r>
      <w:proofErr w:type="gramEnd"/>
      <w:r w:rsidRPr="00422CCA">
        <w:t xml:space="preserve"> yield curve spreads in financial markets. There is good reason for this</w:t>
      </w:r>
      <w:r w:rsidR="00302D49">
        <w:t>: Th</w:t>
      </w:r>
      <w:r w:rsidRPr="00422CCA">
        <w:t xml:space="preserve">e yield on the </w:t>
      </w:r>
      <w:r w:rsidR="00422CCA">
        <w:t>two</w:t>
      </w:r>
      <w:r w:rsidRPr="00422CCA">
        <w:t>-</w:t>
      </w:r>
      <w:r w:rsidR="00942C67" w:rsidRPr="00422CCA">
        <w:t>y</w:t>
      </w:r>
      <w:r w:rsidRPr="00422CCA">
        <w:t>ear note is largely a function of market expectations regarding policy decisions from the Federal Reserve, while the yield on the 10-</w:t>
      </w:r>
      <w:r w:rsidR="00942C67" w:rsidRPr="00422CCA">
        <w:t>y</w:t>
      </w:r>
      <w:r w:rsidRPr="00422CCA">
        <w:t xml:space="preserve">ear note is influenced by expectations for longer-term economic growth and the outlook for inflation. </w:t>
      </w:r>
      <w:r w:rsidR="00DF1003" w:rsidRPr="00422CCA">
        <w:t xml:space="preserve">Because of the factors influencing </w:t>
      </w:r>
      <w:r w:rsidR="00C17A2E" w:rsidRPr="00422CCA">
        <w:t>each</w:t>
      </w:r>
      <w:r w:rsidR="00DF1003" w:rsidRPr="00422CCA">
        <w:t xml:space="preserve"> component</w:t>
      </w:r>
      <w:r w:rsidRPr="00422CCA">
        <w:t xml:space="preserve">, the spread between the two </w:t>
      </w:r>
      <w:r w:rsidR="00DF1003" w:rsidRPr="00422CCA">
        <w:t>provides a treasure trove of information regarding the economy and interest rates.</w:t>
      </w:r>
    </w:p>
    <w:p w14:paraId="0BB1970E" w14:textId="283E666E" w:rsidR="007A01B4" w:rsidRPr="00422CCA" w:rsidRDefault="00C17A2E" w:rsidP="00422CCA">
      <w:r w:rsidRPr="00422CCA">
        <w:t>Due to</w:t>
      </w:r>
      <w:r w:rsidR="00DF1003" w:rsidRPr="00422CCA">
        <w:t xml:space="preserve"> its popularity</w:t>
      </w:r>
      <w:r w:rsidR="008074CB" w:rsidRPr="00422CCA">
        <w:t>, there is</w:t>
      </w:r>
      <w:r w:rsidR="00DF1003" w:rsidRPr="00422CCA">
        <w:t xml:space="preserve"> a</w:t>
      </w:r>
      <w:r w:rsidR="008074CB" w:rsidRPr="00422CCA">
        <w:t xml:space="preserve"> considerable </w:t>
      </w:r>
      <w:r w:rsidR="00DF1003" w:rsidRPr="00422CCA">
        <w:t xml:space="preserve">amount of historical data available on the 2s/10s Treasury spread. </w:t>
      </w:r>
      <w:r w:rsidRPr="00422CCA">
        <w:t>Reviewing</w:t>
      </w:r>
      <w:r w:rsidR="00994A89" w:rsidRPr="00422CCA">
        <w:t xml:space="preserve"> this data </w:t>
      </w:r>
      <w:r w:rsidRPr="00422CCA">
        <w:t>shows</w:t>
      </w:r>
      <w:r w:rsidR="00994A89" w:rsidRPr="00422CCA">
        <w:t xml:space="preserve"> that 2s/10s has peaked at an average of roughly 270 basis points</w:t>
      </w:r>
      <w:r w:rsidR="00942C67" w:rsidRPr="00422CCA">
        <w:t xml:space="preserve"> (2.70%)</w:t>
      </w:r>
      <w:r w:rsidR="00994A89" w:rsidRPr="00422CCA">
        <w:t xml:space="preserve"> over the past three interest rate cycles</w:t>
      </w:r>
      <w:r w:rsidR="009F5973" w:rsidRPr="00422CCA">
        <w:t xml:space="preserve"> (a period of approximately 35 years). A closer look at steepening </w:t>
      </w:r>
      <w:r w:rsidRPr="00422CCA">
        <w:t>episodes</w:t>
      </w:r>
      <w:r w:rsidR="001536DE" w:rsidRPr="00422CCA">
        <w:t xml:space="preserve"> </w:t>
      </w:r>
      <w:r w:rsidR="009F5973" w:rsidRPr="00422CCA">
        <w:t>reveals that</w:t>
      </w:r>
      <w:r w:rsidRPr="00422CCA">
        <w:t xml:space="preserve"> these are typically</w:t>
      </w:r>
      <w:r w:rsidR="009F5973" w:rsidRPr="00422CCA">
        <w:t xml:space="preserve"> </w:t>
      </w:r>
      <w:r w:rsidRPr="00422CCA">
        <w:t>driven by</w:t>
      </w:r>
      <w:r w:rsidR="001536DE" w:rsidRPr="00422CCA">
        <w:t xml:space="preserve"> severe reductions </w:t>
      </w:r>
      <w:r w:rsidR="001536DE" w:rsidRPr="00422CCA">
        <w:lastRenderedPageBreak/>
        <w:t>in short-term policy rates</w:t>
      </w:r>
      <w:r w:rsidR="00422CCA">
        <w:t>—</w:t>
      </w:r>
      <w:r w:rsidR="001536DE" w:rsidRPr="00422CCA">
        <w:t>think 500 basis points or more</w:t>
      </w:r>
      <w:r w:rsidR="00422CCA">
        <w:t>—</w:t>
      </w:r>
      <w:r w:rsidR="001536DE" w:rsidRPr="00422CCA">
        <w:t xml:space="preserve">which </w:t>
      </w:r>
      <w:r w:rsidRPr="00422CCA">
        <w:t>frequently</w:t>
      </w:r>
      <w:r w:rsidR="001536DE" w:rsidRPr="00422CCA">
        <w:t xml:space="preserve"> occur around a recession.</w:t>
      </w:r>
    </w:p>
    <w:p w14:paraId="2AA28258" w14:textId="1EA56C87" w:rsidR="006B4797" w:rsidRPr="00422CCA" w:rsidRDefault="007A01B4" w:rsidP="00422CCA">
      <w:r w:rsidRPr="00422CCA">
        <w:t xml:space="preserve">Given </w:t>
      </w:r>
      <w:r w:rsidR="00BC6360">
        <w:t>our</w:t>
      </w:r>
      <w:r w:rsidR="00BC6360" w:rsidRPr="00422CCA">
        <w:t xml:space="preserve"> </w:t>
      </w:r>
      <w:r w:rsidRPr="00422CCA">
        <w:t xml:space="preserve">current </w:t>
      </w:r>
      <w:r w:rsidR="00BC6360">
        <w:t>situation</w:t>
      </w:r>
      <w:r w:rsidRPr="00422CCA">
        <w:t xml:space="preserve">, portfolio managers may reasonably question whether </w:t>
      </w:r>
      <w:r w:rsidR="00521604" w:rsidRPr="00422CCA">
        <w:t>this</w:t>
      </w:r>
      <w:r w:rsidRPr="00422CCA">
        <w:t xml:space="preserve"> rate cycle will look like those of the past. </w:t>
      </w:r>
      <w:r w:rsidR="006B4797" w:rsidRPr="00422CCA">
        <w:t>If it does, then there could be another 400+ basis points of easing in the future. Should this come to pass, revisiting prior cycle steeps seems entirely plausible and there is a well-wor</w:t>
      </w:r>
      <w:r w:rsidR="00521604" w:rsidRPr="00422CCA">
        <w:t>n</w:t>
      </w:r>
      <w:r w:rsidR="006B4797" w:rsidRPr="00422CCA">
        <w:t xml:space="preserve"> path regarding the appropriate portfolio strategy steps to take</w:t>
      </w:r>
      <w:r w:rsidR="00BC6360">
        <w:t xml:space="preserve">: </w:t>
      </w:r>
      <w:r w:rsidR="006B4797" w:rsidRPr="00422CCA">
        <w:t>extend duration, reduce premium exposure and add various forms of call protection.</w:t>
      </w:r>
    </w:p>
    <w:p w14:paraId="497A348E" w14:textId="77777777" w:rsidR="00BC6360" w:rsidRDefault="00BC6360" w:rsidP="00422CCA"/>
    <w:p w14:paraId="3B334A1E" w14:textId="7A2306D6" w:rsidR="00BC6360" w:rsidRDefault="00BC6360" w:rsidP="00422CCA">
      <w:r>
        <w:t>[</w:t>
      </w:r>
      <w:proofErr w:type="spellStart"/>
      <w:r>
        <w:t>subhed</w:t>
      </w:r>
      <w:proofErr w:type="spellEnd"/>
      <w:r>
        <w:t>] What if…</w:t>
      </w:r>
    </w:p>
    <w:p w14:paraId="6A385F6D" w14:textId="1F5672FD" w:rsidR="00302D49" w:rsidRDefault="006B4797" w:rsidP="00422CCA">
      <w:r w:rsidRPr="00422CCA">
        <w:t xml:space="preserve">However, the </w:t>
      </w:r>
      <w:r w:rsidR="00913929" w:rsidRPr="00422CCA">
        <w:t>strategy implications could change considerably</w:t>
      </w:r>
      <w:r w:rsidR="00726717" w:rsidRPr="00422CCA">
        <w:t xml:space="preserve"> if this cycle plays out differently</w:t>
      </w:r>
      <w:r w:rsidR="00913929" w:rsidRPr="00422CCA">
        <w:t xml:space="preserve">. </w:t>
      </w:r>
      <w:r w:rsidR="00726717" w:rsidRPr="00422CCA">
        <w:t>Three options are on the table i</w:t>
      </w:r>
      <w:r w:rsidR="00913929" w:rsidRPr="00422CCA">
        <w:t>f we accept the premise that the next yield curve</w:t>
      </w:r>
      <w:r w:rsidR="001C7040" w:rsidRPr="00422CCA">
        <w:t xml:space="preserve"> shift</w:t>
      </w:r>
      <w:r w:rsidR="00913929" w:rsidRPr="00422CCA">
        <w:t xml:space="preserve"> is a steepening move:</w:t>
      </w:r>
      <w:r w:rsidR="00422CCA">
        <w:t xml:space="preserve"> </w:t>
      </w:r>
    </w:p>
    <w:p w14:paraId="5CDA78A3" w14:textId="23487A4A" w:rsidR="00302D49" w:rsidRDefault="00302D49" w:rsidP="00302D49">
      <w:pPr>
        <w:pStyle w:val="ListParagraph"/>
        <w:numPr>
          <w:ilvl w:val="0"/>
          <w:numId w:val="5"/>
        </w:numPr>
      </w:pPr>
      <w:r>
        <w:t>B</w:t>
      </w:r>
      <w:r w:rsidR="00913929" w:rsidRPr="00422CCA">
        <w:t>ull</w:t>
      </w:r>
      <w:r w:rsidR="00422CCA">
        <w:t xml:space="preserve"> </w:t>
      </w:r>
      <w:proofErr w:type="spellStart"/>
      <w:r w:rsidR="00913929" w:rsidRPr="00422CCA">
        <w:t>steepen</w:t>
      </w:r>
      <w:r w:rsidR="002B3D1E" w:rsidRPr="00422CCA">
        <w:t>er</w:t>
      </w:r>
      <w:proofErr w:type="spellEnd"/>
      <w:r w:rsidR="00422CCA">
        <w:t xml:space="preserve"> (</w:t>
      </w:r>
      <w:r w:rsidR="00913929" w:rsidRPr="00422CCA">
        <w:t>downwards bias where the short-term rates decline more than long-term ones</w:t>
      </w:r>
      <w:r w:rsidR="00422CCA">
        <w:t>)</w:t>
      </w:r>
    </w:p>
    <w:p w14:paraId="336566FD" w14:textId="1DD516FE" w:rsidR="00302D49" w:rsidRPr="00422CCA" w:rsidRDefault="00302D49" w:rsidP="00663CAA">
      <w:pPr>
        <w:pStyle w:val="ListParagraph"/>
        <w:numPr>
          <w:ilvl w:val="0"/>
          <w:numId w:val="5"/>
        </w:numPr>
      </w:pPr>
      <w:r>
        <w:t>B</w:t>
      </w:r>
      <w:r w:rsidR="00913929" w:rsidRPr="00422CCA">
        <w:t>ear</w:t>
      </w:r>
      <w:r w:rsidR="00422CCA">
        <w:t xml:space="preserve"> </w:t>
      </w:r>
      <w:proofErr w:type="spellStart"/>
      <w:r w:rsidR="00913929" w:rsidRPr="00422CCA">
        <w:t>steepen</w:t>
      </w:r>
      <w:r w:rsidR="002B3D1E" w:rsidRPr="00422CCA">
        <w:t>er</w:t>
      </w:r>
      <w:proofErr w:type="spellEnd"/>
      <w:r w:rsidR="00913929" w:rsidRPr="00422CCA">
        <w:t xml:space="preserve"> </w:t>
      </w:r>
      <w:r w:rsidR="00422CCA">
        <w:t>(</w:t>
      </w:r>
      <w:r w:rsidR="00913929" w:rsidRPr="00422CCA">
        <w:t>upwards bias where the long-term rates rise more than the short-term ones</w:t>
      </w:r>
      <w:r w:rsidR="00422CCA">
        <w:t>)</w:t>
      </w:r>
    </w:p>
    <w:p w14:paraId="395C30AC" w14:textId="48CD1AE9" w:rsidR="00913929" w:rsidRPr="00422CCA" w:rsidRDefault="00302D49" w:rsidP="00663CAA">
      <w:pPr>
        <w:pStyle w:val="ListParagraph"/>
        <w:numPr>
          <w:ilvl w:val="0"/>
          <w:numId w:val="5"/>
        </w:numPr>
      </w:pPr>
      <w:r>
        <w:t>M</w:t>
      </w:r>
      <w:r w:rsidR="00913929" w:rsidRPr="00422CCA">
        <w:t xml:space="preserve">ixed </w:t>
      </w:r>
      <w:proofErr w:type="spellStart"/>
      <w:r w:rsidR="00913929" w:rsidRPr="00422CCA">
        <w:t>steepener</w:t>
      </w:r>
      <w:proofErr w:type="spellEnd"/>
      <w:r w:rsidR="00913929" w:rsidRPr="00422CCA">
        <w:t xml:space="preserve"> </w:t>
      </w:r>
      <w:r w:rsidR="00422CCA">
        <w:t>(</w:t>
      </w:r>
      <w:r w:rsidR="00913929" w:rsidRPr="00422CCA">
        <w:t>short-term rates decline while longer-term rates increase</w:t>
      </w:r>
      <w:r w:rsidR="00422CCA">
        <w:t>)</w:t>
      </w:r>
    </w:p>
    <w:p w14:paraId="4C540203" w14:textId="77777777" w:rsidR="00302D49" w:rsidRDefault="00302D49" w:rsidP="00422CCA"/>
    <w:p w14:paraId="2B9D3E45" w14:textId="719D3607" w:rsidR="009D5489" w:rsidRPr="00422CCA" w:rsidRDefault="00913929" w:rsidP="00422CCA">
      <w:r w:rsidRPr="00422CCA">
        <w:t xml:space="preserve">Previous cycles have exhibited </w:t>
      </w:r>
      <w:r w:rsidR="00422CCA">
        <w:t>b</w:t>
      </w:r>
      <w:r w:rsidRPr="00422CCA">
        <w:t>ull-</w:t>
      </w:r>
      <w:proofErr w:type="spellStart"/>
      <w:r w:rsidRPr="00422CCA">
        <w:t>steepen</w:t>
      </w:r>
      <w:r w:rsidR="002B3D1E" w:rsidRPr="00422CCA">
        <w:t>er</w:t>
      </w:r>
      <w:proofErr w:type="spellEnd"/>
      <w:r w:rsidRPr="00422CCA">
        <w:t xml:space="preserve"> behavior</w:t>
      </w:r>
      <w:r w:rsidR="00BC6360">
        <w:t xml:space="preserve">, </w:t>
      </w:r>
      <w:r w:rsidRPr="00422CCA">
        <w:t xml:space="preserve">so even if the </w:t>
      </w:r>
      <w:r w:rsidR="00521604" w:rsidRPr="00422CCA">
        <w:t>cumulative</w:t>
      </w:r>
      <w:r w:rsidRPr="00422CCA">
        <w:t xml:space="preserve"> decline in policy rates is somewhat lower this cycle, the appropriate response </w:t>
      </w:r>
      <w:r w:rsidR="00521604" w:rsidRPr="00422CCA">
        <w:t>is</w:t>
      </w:r>
      <w:r w:rsidRPr="00422CCA">
        <w:t xml:space="preserve"> </w:t>
      </w:r>
      <w:proofErr w:type="gramStart"/>
      <w:r w:rsidRPr="00422CCA">
        <w:t>fairly similar</w:t>
      </w:r>
      <w:proofErr w:type="gramEnd"/>
      <w:r w:rsidRPr="00422CCA">
        <w:t xml:space="preserve">. </w:t>
      </w:r>
      <w:r w:rsidR="002B3D1E" w:rsidRPr="00422CCA">
        <w:t>Look to bonds carrying deep discounts</w:t>
      </w:r>
      <w:r w:rsidR="00302D49">
        <w:t xml:space="preserve">, which are typically </w:t>
      </w:r>
      <w:r w:rsidR="00942C67" w:rsidRPr="00422CCA">
        <w:t>a</w:t>
      </w:r>
      <w:r w:rsidR="002B3D1E" w:rsidRPr="00422CCA">
        <w:t xml:space="preserve">gencies or </w:t>
      </w:r>
      <w:r w:rsidR="00942C67" w:rsidRPr="00422CCA">
        <w:t>mortgage-backed securities (</w:t>
      </w:r>
      <w:r w:rsidR="002B3D1E" w:rsidRPr="00422CCA">
        <w:t>MBS</w:t>
      </w:r>
      <w:r w:rsidR="00942C67" w:rsidRPr="00422CCA">
        <w:t xml:space="preserve">) and collateralized mortgage obligations </w:t>
      </w:r>
      <w:r w:rsidR="002B3D1E" w:rsidRPr="00422CCA">
        <w:t xml:space="preserve">featuring coupons and/or gross </w:t>
      </w:r>
      <w:r w:rsidR="00302D49">
        <w:t>weighted average coupons (</w:t>
      </w:r>
      <w:r w:rsidR="002B3D1E" w:rsidRPr="00422CCA">
        <w:t>WACs</w:t>
      </w:r>
      <w:r w:rsidR="00302D49">
        <w:t>)</w:t>
      </w:r>
      <w:r w:rsidR="002B3D1E" w:rsidRPr="00422CCA">
        <w:t xml:space="preserve"> considerably below current market levels</w:t>
      </w:r>
      <w:r w:rsidR="00302D49">
        <w:t>. Another option is</w:t>
      </w:r>
      <w:r w:rsidR="002B3D1E" w:rsidRPr="00422CCA">
        <w:t xml:space="preserve"> instruments featuring strong forms of call protection</w:t>
      </w:r>
      <w:r w:rsidR="00302D49">
        <w:t xml:space="preserve">, such as </w:t>
      </w:r>
      <w:r w:rsidR="00942C67" w:rsidRPr="00422CCA">
        <w:t>a</w:t>
      </w:r>
      <w:r w:rsidR="002B3D1E" w:rsidRPr="00422CCA">
        <w:t xml:space="preserve">gency bullets, various forms of </w:t>
      </w:r>
      <w:r w:rsidR="00942C67" w:rsidRPr="00422CCA">
        <w:t>a</w:t>
      </w:r>
      <w:r w:rsidR="002B3D1E" w:rsidRPr="00422CCA">
        <w:t xml:space="preserve">gency CMBS, </w:t>
      </w:r>
      <w:r w:rsidR="00942C67" w:rsidRPr="00422CCA">
        <w:t>m</w:t>
      </w:r>
      <w:r w:rsidR="002B3D1E" w:rsidRPr="00422CCA">
        <w:t xml:space="preserve">unicipals and </w:t>
      </w:r>
      <w:r w:rsidR="00942C67" w:rsidRPr="00422CCA">
        <w:t>c</w:t>
      </w:r>
      <w:r w:rsidR="002B3D1E" w:rsidRPr="00422CCA">
        <w:t>orporates</w:t>
      </w:r>
      <w:r w:rsidR="00302D49">
        <w:t>.</w:t>
      </w:r>
      <w:r w:rsidR="002B3D1E" w:rsidRPr="00422CCA">
        <w:t xml:space="preserve"> Avoid higher-coupon agency </w:t>
      </w:r>
      <w:proofErr w:type="spellStart"/>
      <w:r w:rsidR="002B3D1E" w:rsidRPr="00422CCA">
        <w:t>callables</w:t>
      </w:r>
      <w:proofErr w:type="spellEnd"/>
      <w:r w:rsidR="002B3D1E" w:rsidRPr="00422CCA">
        <w:t xml:space="preserve">, higher-WAC MBS, and floaters due to </w:t>
      </w:r>
      <w:proofErr w:type="spellStart"/>
      <w:r w:rsidR="002B3D1E" w:rsidRPr="00422CCA">
        <w:t>refinanceability</w:t>
      </w:r>
      <w:proofErr w:type="spellEnd"/>
      <w:r w:rsidR="002B3D1E" w:rsidRPr="00422CCA">
        <w:t xml:space="preserve"> and/or declining yields.</w:t>
      </w:r>
    </w:p>
    <w:p w14:paraId="16E4BFD8" w14:textId="1B79D23D" w:rsidR="009D5489" w:rsidRPr="00422CCA" w:rsidRDefault="009D5489" w:rsidP="00422CCA">
      <w:r w:rsidRPr="00422CCA">
        <w:t xml:space="preserve">A </w:t>
      </w:r>
      <w:r w:rsidR="00BC6360">
        <w:t>b</w:t>
      </w:r>
      <w:r w:rsidRPr="00422CCA">
        <w:t>ear</w:t>
      </w:r>
      <w:r w:rsidR="00302D49">
        <w:t xml:space="preserve"> </w:t>
      </w:r>
      <w:proofErr w:type="spellStart"/>
      <w:r w:rsidRPr="00422CCA">
        <w:t>steepener</w:t>
      </w:r>
      <w:proofErr w:type="spellEnd"/>
      <w:r w:rsidRPr="00422CCA">
        <w:t xml:space="preserve"> is arguably the most challenging scenario of the three, as few investments truly benefit from rising long-term rates</w:t>
      </w:r>
      <w:r w:rsidR="00BC6360">
        <w:t>. T</w:t>
      </w:r>
      <w:r w:rsidRPr="00422CCA">
        <w:t xml:space="preserve">he best-performing instruments are the ones that get hurt the least. Premiums are good here, as lower prepay and call activity widens out the window for premium amortization. Reinvestment of cash flows is also important, so short finals and/or high levels of principal cash flow perform well; </w:t>
      </w:r>
      <w:r w:rsidR="00BC6360">
        <w:t>h</w:t>
      </w:r>
      <w:r w:rsidRPr="00422CCA">
        <w:t xml:space="preserve">ybrid </w:t>
      </w:r>
      <w:r w:rsidR="00966225" w:rsidRPr="00422CCA">
        <w:t>adjustable</w:t>
      </w:r>
      <w:r w:rsidR="00BC6360">
        <w:t>-</w:t>
      </w:r>
      <w:r w:rsidR="00966225" w:rsidRPr="00422CCA">
        <w:t xml:space="preserve">rate mortgages </w:t>
      </w:r>
      <w:r w:rsidRPr="00422CCA">
        <w:t>combine these features in a unique way.</w:t>
      </w:r>
    </w:p>
    <w:p w14:paraId="519FF0FC" w14:textId="6703CF0C" w:rsidR="00595513" w:rsidRPr="00422CCA" w:rsidRDefault="001C7040" w:rsidP="00422CCA">
      <w:r w:rsidRPr="00422CCA">
        <w:t>The best investments in a</w:t>
      </w:r>
      <w:r w:rsidR="009D5489" w:rsidRPr="00422CCA">
        <w:t xml:space="preserve"> </w:t>
      </w:r>
      <w:r w:rsidR="00BC6360">
        <w:t>m</w:t>
      </w:r>
      <w:r w:rsidR="009D5489" w:rsidRPr="00422CCA">
        <w:t xml:space="preserve">ixed </w:t>
      </w:r>
      <w:proofErr w:type="spellStart"/>
      <w:r w:rsidR="009D5489" w:rsidRPr="00422CCA">
        <w:t>steepener</w:t>
      </w:r>
      <w:proofErr w:type="spellEnd"/>
      <w:r w:rsidR="009D5489" w:rsidRPr="00422CCA">
        <w:t xml:space="preserve"> depend on the magnitude of the move in each direction</w:t>
      </w:r>
      <w:r w:rsidRPr="00422CCA">
        <w:t xml:space="preserve"> but tend to favor bullet-like investments whose maturities fall around the fulcrum point on the yield curve. Prepayments and/or calls on shorter, higher-yielding investments today can be reinvested further out the curve as cash flows come in.</w:t>
      </w:r>
    </w:p>
    <w:p w14:paraId="5AB8AED9" w14:textId="423C8446" w:rsidR="00590F51" w:rsidRDefault="001C7040" w:rsidP="00422CCA">
      <w:r w:rsidRPr="00422CCA">
        <w:t xml:space="preserve">As with any portfolio strategy, </w:t>
      </w:r>
      <w:r w:rsidR="00302D49">
        <w:t xml:space="preserve">you must consider </w:t>
      </w:r>
      <w:r w:rsidRPr="00422CCA">
        <w:t xml:space="preserve">the structure and performance of existing holdings alongside prospective additions or repositioning </w:t>
      </w:r>
      <w:r w:rsidR="00B43D0C" w:rsidRPr="00422CCA">
        <w:t>strategies</w:t>
      </w:r>
      <w:r w:rsidRPr="00422CCA">
        <w:t xml:space="preserve">. However, after several years </w:t>
      </w:r>
      <w:r w:rsidRPr="00422CCA">
        <w:lastRenderedPageBreak/>
        <w:t xml:space="preserve">of portfolio strategy that felt very one-dimensional </w:t>
      </w:r>
      <w:r w:rsidR="00B43D0C" w:rsidRPr="00422CCA">
        <w:t xml:space="preserve">due to both uniform challenges across the industry and operating environments that created a narrow solution set to those challenges, 2025 seems poised to make portfolio strategy fun again given a wider array of </w:t>
      </w:r>
      <w:r w:rsidR="00966225" w:rsidRPr="00422CCA">
        <w:t>b</w:t>
      </w:r>
      <w:r w:rsidR="00B43D0C" w:rsidRPr="00422CCA">
        <w:t xml:space="preserve">alance </w:t>
      </w:r>
      <w:r w:rsidR="00966225" w:rsidRPr="00422CCA">
        <w:t>s</w:t>
      </w:r>
      <w:r w:rsidR="00B43D0C" w:rsidRPr="00422CCA">
        <w:t>heet dynamics and possible interest rate scenarios</w:t>
      </w:r>
      <w:r w:rsidR="00726717" w:rsidRPr="00422CCA">
        <w:t>.</w:t>
      </w:r>
    </w:p>
    <w:p w14:paraId="62FF4D4D" w14:textId="77777777" w:rsidR="00422CCA" w:rsidRDefault="00422CCA" w:rsidP="00422CCA"/>
    <w:p w14:paraId="2DCEBB01" w14:textId="41BCED6B" w:rsidR="00422CCA" w:rsidRPr="00663CAA" w:rsidRDefault="00422CCA" w:rsidP="00422CCA">
      <w:pPr>
        <w:rPr>
          <w:i/>
          <w:iCs/>
        </w:rPr>
      </w:pPr>
      <w:r w:rsidRPr="00663CAA">
        <w:rPr>
          <w:i/>
          <w:iCs/>
        </w:rPr>
        <w:t xml:space="preserve">Michael Benedict </w:t>
      </w:r>
      <w:r w:rsidR="00BA075E">
        <w:rPr>
          <w:i/>
          <w:iCs/>
        </w:rPr>
        <w:t>(</w:t>
      </w:r>
      <w:hyperlink r:id="rId8" w:history="1">
        <w:r w:rsidR="00BA075E" w:rsidRPr="0049674F">
          <w:rPr>
            <w:rStyle w:val="Hyperlink"/>
            <w:i/>
            <w:iCs/>
          </w:rPr>
          <w:t>benedictm@stifel.com</w:t>
        </w:r>
      </w:hyperlink>
      <w:r w:rsidR="00BA075E">
        <w:rPr>
          <w:i/>
          <w:iCs/>
        </w:rPr>
        <w:t xml:space="preserve">) </w:t>
      </w:r>
      <w:r w:rsidRPr="00663CAA">
        <w:rPr>
          <w:i/>
          <w:iCs/>
        </w:rPr>
        <w:t xml:space="preserve">is </w:t>
      </w:r>
      <w:r w:rsidR="00BC6360" w:rsidRPr="00663CAA">
        <w:rPr>
          <w:i/>
          <w:iCs/>
        </w:rPr>
        <w:t>a managing director, fixed income strategies, at Stifel, ICBA Securities’ exclusively endorsed broker.</w:t>
      </w:r>
    </w:p>
    <w:p w14:paraId="30182BE9" w14:textId="5DCA7668" w:rsidR="00836492" w:rsidRDefault="00422CCA" w:rsidP="00422CCA">
      <w:r>
        <w:t>[ends]</w:t>
      </w:r>
    </w:p>
    <w:p w14:paraId="502064BE" w14:textId="77777777" w:rsidR="00BC6360" w:rsidRPr="00422CCA" w:rsidRDefault="00BC6360" w:rsidP="00422CCA"/>
    <w:p w14:paraId="27719869" w14:textId="77777777" w:rsidR="00422CCA" w:rsidRDefault="00422CCA" w:rsidP="00422CCA">
      <w:r>
        <w:t xml:space="preserve">[sidebar] </w:t>
      </w:r>
    </w:p>
    <w:p w14:paraId="0CC5F790" w14:textId="4134F396" w:rsidR="00836492" w:rsidRPr="00663CAA" w:rsidRDefault="00836492" w:rsidP="00422CCA">
      <w:pPr>
        <w:rPr>
          <w:b/>
          <w:bCs/>
        </w:rPr>
      </w:pPr>
      <w:r w:rsidRPr="00663CAA">
        <w:rPr>
          <w:b/>
          <w:bCs/>
        </w:rPr>
        <w:t>Economic update webcast in January</w:t>
      </w:r>
    </w:p>
    <w:p w14:paraId="21B705F0" w14:textId="7AD07BC3" w:rsidR="00836492" w:rsidRDefault="00836492" w:rsidP="00422CCA">
      <w:r w:rsidRPr="00422CCA">
        <w:t>ICBA Securities and its exclusive broker Stifel kick off their 2025 webcast calendar with the quarterly Economic Insight Live on Jan</w:t>
      </w:r>
      <w:r w:rsidR="00BA075E">
        <w:t>. 30</w:t>
      </w:r>
      <w:r w:rsidR="00BA075E" w:rsidRPr="00422CCA">
        <w:t xml:space="preserve"> </w:t>
      </w:r>
      <w:r w:rsidRPr="00422CCA">
        <w:t>at 1 p.m. Eastern. Stifel</w:t>
      </w:r>
      <w:r w:rsidR="00422CCA">
        <w:t>’s</w:t>
      </w:r>
      <w:r w:rsidRPr="00422CCA">
        <w:t xml:space="preserve"> </w:t>
      </w:r>
      <w:r w:rsidR="00422CCA">
        <w:t>c</w:t>
      </w:r>
      <w:r w:rsidRPr="00422CCA">
        <w:t xml:space="preserve">hief </w:t>
      </w:r>
      <w:r w:rsidR="00422CCA">
        <w:t>e</w:t>
      </w:r>
      <w:r w:rsidRPr="00422CCA">
        <w:t>conomist</w:t>
      </w:r>
      <w:r w:rsidR="00302D49">
        <w:t>,</w:t>
      </w:r>
      <w:r w:rsidRPr="00422CCA">
        <w:t xml:space="preserve"> Lindsey Piegza</w:t>
      </w:r>
      <w:r w:rsidR="00302D49">
        <w:t>,</w:t>
      </w:r>
      <w:r w:rsidR="00422CCA">
        <w:t xml:space="preserve"> </w:t>
      </w:r>
      <w:r w:rsidRPr="00422CCA">
        <w:t xml:space="preserve">will present. Up to </w:t>
      </w:r>
      <w:r w:rsidR="00422CCA">
        <w:t>one</w:t>
      </w:r>
      <w:r w:rsidRPr="00422CCA">
        <w:t xml:space="preserve"> hour of CPE is offered. For more information and to register, contact your Stifel rep.</w:t>
      </w:r>
    </w:p>
    <w:p w14:paraId="16195B8C" w14:textId="6A036B25" w:rsidR="00422CCA" w:rsidRPr="00422CCA" w:rsidRDefault="00422CCA" w:rsidP="00422CCA">
      <w:r>
        <w:t>[sidebar ends]</w:t>
      </w:r>
    </w:p>
    <w:p w14:paraId="41086C34" w14:textId="77777777" w:rsidR="00836492" w:rsidRPr="00422CCA" w:rsidRDefault="00836492" w:rsidP="00422CCA"/>
    <w:sectPr w:rsidR="00836492" w:rsidRPr="00422CCA" w:rsidSect="00422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5906" w14:textId="77777777" w:rsidR="007B3165" w:rsidRDefault="007B3165" w:rsidP="00E703EC">
      <w:pPr>
        <w:spacing w:after="0" w:line="240" w:lineRule="auto"/>
      </w:pPr>
      <w:r>
        <w:separator/>
      </w:r>
    </w:p>
  </w:endnote>
  <w:endnote w:type="continuationSeparator" w:id="0">
    <w:p w14:paraId="3B976D93" w14:textId="77777777" w:rsidR="007B3165" w:rsidRDefault="007B3165" w:rsidP="00E7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3A14A" w14:textId="77777777" w:rsidR="007B3165" w:rsidRDefault="007B3165" w:rsidP="00E703EC">
      <w:pPr>
        <w:spacing w:after="0" w:line="240" w:lineRule="auto"/>
      </w:pPr>
      <w:r>
        <w:separator/>
      </w:r>
    </w:p>
  </w:footnote>
  <w:footnote w:type="continuationSeparator" w:id="0">
    <w:p w14:paraId="42032C19" w14:textId="77777777" w:rsidR="007B3165" w:rsidRDefault="007B3165" w:rsidP="00E70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4E3B"/>
    <w:multiLevelType w:val="hybridMultilevel"/>
    <w:tmpl w:val="EBB2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551E6"/>
    <w:multiLevelType w:val="hybridMultilevel"/>
    <w:tmpl w:val="6B4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024C2"/>
    <w:multiLevelType w:val="hybridMultilevel"/>
    <w:tmpl w:val="A90A8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5061D"/>
    <w:multiLevelType w:val="hybridMultilevel"/>
    <w:tmpl w:val="69CC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B2C69"/>
    <w:multiLevelType w:val="hybridMultilevel"/>
    <w:tmpl w:val="52C82550"/>
    <w:lvl w:ilvl="0" w:tplc="B85E6C3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199962">
    <w:abstractNumId w:val="1"/>
  </w:num>
  <w:num w:numId="2" w16cid:durableId="2074355355">
    <w:abstractNumId w:val="0"/>
  </w:num>
  <w:num w:numId="3" w16cid:durableId="1021080683">
    <w:abstractNumId w:val="2"/>
  </w:num>
  <w:num w:numId="4" w16cid:durableId="913205818">
    <w:abstractNumId w:val="3"/>
  </w:num>
  <w:num w:numId="5" w16cid:durableId="171724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F9"/>
    <w:rsid w:val="00002996"/>
    <w:rsid w:val="000119C8"/>
    <w:rsid w:val="0001451D"/>
    <w:rsid w:val="00051B36"/>
    <w:rsid w:val="000760F1"/>
    <w:rsid w:val="000918B2"/>
    <w:rsid w:val="00096416"/>
    <w:rsid w:val="000A241D"/>
    <w:rsid w:val="000A59E3"/>
    <w:rsid w:val="000B7062"/>
    <w:rsid w:val="000C48F6"/>
    <w:rsid w:val="000E3637"/>
    <w:rsid w:val="00126834"/>
    <w:rsid w:val="001410A8"/>
    <w:rsid w:val="00152CE4"/>
    <w:rsid w:val="001536DE"/>
    <w:rsid w:val="00174862"/>
    <w:rsid w:val="001821B6"/>
    <w:rsid w:val="001906AE"/>
    <w:rsid w:val="001A2C3E"/>
    <w:rsid w:val="001A53E6"/>
    <w:rsid w:val="001C7040"/>
    <w:rsid w:val="001D4D81"/>
    <w:rsid w:val="001F3FE3"/>
    <w:rsid w:val="00203732"/>
    <w:rsid w:val="002409B8"/>
    <w:rsid w:val="00242315"/>
    <w:rsid w:val="00242E5E"/>
    <w:rsid w:val="002B3D1E"/>
    <w:rsid w:val="002C2217"/>
    <w:rsid w:val="0030279F"/>
    <w:rsid w:val="00302D49"/>
    <w:rsid w:val="0034350F"/>
    <w:rsid w:val="00344B1E"/>
    <w:rsid w:val="003704B0"/>
    <w:rsid w:val="00393578"/>
    <w:rsid w:val="00395BF1"/>
    <w:rsid w:val="003C60EA"/>
    <w:rsid w:val="003E102C"/>
    <w:rsid w:val="003E3994"/>
    <w:rsid w:val="00400CF0"/>
    <w:rsid w:val="00400D81"/>
    <w:rsid w:val="00422CCA"/>
    <w:rsid w:val="0042539B"/>
    <w:rsid w:val="004608BC"/>
    <w:rsid w:val="00474A2B"/>
    <w:rsid w:val="00483D2C"/>
    <w:rsid w:val="00491495"/>
    <w:rsid w:val="00496D22"/>
    <w:rsid w:val="004E3B4E"/>
    <w:rsid w:val="004E5C3A"/>
    <w:rsid w:val="004F47ED"/>
    <w:rsid w:val="0050187A"/>
    <w:rsid w:val="00521604"/>
    <w:rsid w:val="005218EE"/>
    <w:rsid w:val="00530EBD"/>
    <w:rsid w:val="00536CCA"/>
    <w:rsid w:val="00564204"/>
    <w:rsid w:val="00574717"/>
    <w:rsid w:val="00574DBC"/>
    <w:rsid w:val="00590F51"/>
    <w:rsid w:val="00595513"/>
    <w:rsid w:val="005A559C"/>
    <w:rsid w:val="005A628C"/>
    <w:rsid w:val="005C3979"/>
    <w:rsid w:val="00602E37"/>
    <w:rsid w:val="00633310"/>
    <w:rsid w:val="00644498"/>
    <w:rsid w:val="006572F8"/>
    <w:rsid w:val="00663CAA"/>
    <w:rsid w:val="00681FAA"/>
    <w:rsid w:val="006B11F8"/>
    <w:rsid w:val="006B4797"/>
    <w:rsid w:val="006C0A36"/>
    <w:rsid w:val="006C0EFF"/>
    <w:rsid w:val="00726717"/>
    <w:rsid w:val="00741A33"/>
    <w:rsid w:val="00760656"/>
    <w:rsid w:val="00762D2D"/>
    <w:rsid w:val="00773541"/>
    <w:rsid w:val="00785EBE"/>
    <w:rsid w:val="007A01B4"/>
    <w:rsid w:val="007B3165"/>
    <w:rsid w:val="007D04A9"/>
    <w:rsid w:val="007D232A"/>
    <w:rsid w:val="007D3518"/>
    <w:rsid w:val="007E6AD9"/>
    <w:rsid w:val="008074CB"/>
    <w:rsid w:val="00836492"/>
    <w:rsid w:val="008829C6"/>
    <w:rsid w:val="00883231"/>
    <w:rsid w:val="008860C6"/>
    <w:rsid w:val="008E266B"/>
    <w:rsid w:val="008E5598"/>
    <w:rsid w:val="009106DB"/>
    <w:rsid w:val="00913929"/>
    <w:rsid w:val="00942C67"/>
    <w:rsid w:val="00966225"/>
    <w:rsid w:val="00994A89"/>
    <w:rsid w:val="009C7674"/>
    <w:rsid w:val="009D5489"/>
    <w:rsid w:val="009E1F01"/>
    <w:rsid w:val="009E4ECA"/>
    <w:rsid w:val="009E524D"/>
    <w:rsid w:val="009F5973"/>
    <w:rsid w:val="00A15B00"/>
    <w:rsid w:val="00A33A08"/>
    <w:rsid w:val="00A45492"/>
    <w:rsid w:val="00A476DA"/>
    <w:rsid w:val="00A54221"/>
    <w:rsid w:val="00A77F54"/>
    <w:rsid w:val="00AA0E73"/>
    <w:rsid w:val="00AB4F7B"/>
    <w:rsid w:val="00AB6902"/>
    <w:rsid w:val="00AC0C5E"/>
    <w:rsid w:val="00AC449A"/>
    <w:rsid w:val="00AD3786"/>
    <w:rsid w:val="00AF1BC1"/>
    <w:rsid w:val="00AF54B9"/>
    <w:rsid w:val="00B013A6"/>
    <w:rsid w:val="00B04008"/>
    <w:rsid w:val="00B30061"/>
    <w:rsid w:val="00B40C2A"/>
    <w:rsid w:val="00B43D0C"/>
    <w:rsid w:val="00B573E2"/>
    <w:rsid w:val="00B94E60"/>
    <w:rsid w:val="00BA075E"/>
    <w:rsid w:val="00BB0CE8"/>
    <w:rsid w:val="00BC6360"/>
    <w:rsid w:val="00BC7907"/>
    <w:rsid w:val="00C17A2E"/>
    <w:rsid w:val="00C21FBC"/>
    <w:rsid w:val="00C52DE9"/>
    <w:rsid w:val="00C56589"/>
    <w:rsid w:val="00C64FF6"/>
    <w:rsid w:val="00C9403D"/>
    <w:rsid w:val="00CA1D46"/>
    <w:rsid w:val="00CB388B"/>
    <w:rsid w:val="00CE708E"/>
    <w:rsid w:val="00CF42F9"/>
    <w:rsid w:val="00D002AE"/>
    <w:rsid w:val="00D3646F"/>
    <w:rsid w:val="00D513A9"/>
    <w:rsid w:val="00D770C8"/>
    <w:rsid w:val="00D80903"/>
    <w:rsid w:val="00D91737"/>
    <w:rsid w:val="00D91B98"/>
    <w:rsid w:val="00DA7BA4"/>
    <w:rsid w:val="00DC26BE"/>
    <w:rsid w:val="00DE1978"/>
    <w:rsid w:val="00DE1DE7"/>
    <w:rsid w:val="00DF1003"/>
    <w:rsid w:val="00E703EC"/>
    <w:rsid w:val="00E82C9F"/>
    <w:rsid w:val="00E96A20"/>
    <w:rsid w:val="00EB2C7A"/>
    <w:rsid w:val="00ED4B08"/>
    <w:rsid w:val="00EE2844"/>
    <w:rsid w:val="00F0051F"/>
    <w:rsid w:val="00F045D9"/>
    <w:rsid w:val="00F05824"/>
    <w:rsid w:val="00F1183C"/>
    <w:rsid w:val="00F35076"/>
    <w:rsid w:val="00F479B6"/>
    <w:rsid w:val="00F72D3F"/>
    <w:rsid w:val="00F95EAF"/>
    <w:rsid w:val="00FC3EEF"/>
    <w:rsid w:val="00FC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0731"/>
  <w15:chartTrackingRefBased/>
  <w15:docId w15:val="{FCD763BD-0443-4E1F-A0DB-D0549CB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 w:type="paragraph" w:styleId="FootnoteText">
    <w:name w:val="footnote text"/>
    <w:basedOn w:val="Normal"/>
    <w:link w:val="FootnoteTextChar"/>
    <w:uiPriority w:val="99"/>
    <w:semiHidden/>
    <w:unhideWhenUsed/>
    <w:rsid w:val="00E70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C"/>
    <w:rPr>
      <w:sz w:val="20"/>
      <w:szCs w:val="20"/>
    </w:rPr>
  </w:style>
  <w:style w:type="character" w:styleId="FootnoteReference">
    <w:name w:val="footnote reference"/>
    <w:basedOn w:val="DefaultParagraphFont"/>
    <w:uiPriority w:val="99"/>
    <w:semiHidden/>
    <w:unhideWhenUsed/>
    <w:rsid w:val="00E703EC"/>
    <w:rPr>
      <w:vertAlign w:val="superscript"/>
    </w:rPr>
  </w:style>
  <w:style w:type="character" w:styleId="CommentReference">
    <w:name w:val="annotation reference"/>
    <w:basedOn w:val="DefaultParagraphFont"/>
    <w:uiPriority w:val="99"/>
    <w:semiHidden/>
    <w:unhideWhenUsed/>
    <w:rsid w:val="006572F8"/>
    <w:rPr>
      <w:sz w:val="16"/>
      <w:szCs w:val="16"/>
    </w:rPr>
  </w:style>
  <w:style w:type="paragraph" w:styleId="CommentText">
    <w:name w:val="annotation text"/>
    <w:basedOn w:val="Normal"/>
    <w:link w:val="CommentTextChar"/>
    <w:uiPriority w:val="99"/>
    <w:unhideWhenUsed/>
    <w:rsid w:val="006572F8"/>
    <w:pPr>
      <w:spacing w:line="240" w:lineRule="auto"/>
    </w:pPr>
    <w:rPr>
      <w:sz w:val="20"/>
      <w:szCs w:val="20"/>
    </w:rPr>
  </w:style>
  <w:style w:type="character" w:customStyle="1" w:styleId="CommentTextChar">
    <w:name w:val="Comment Text Char"/>
    <w:basedOn w:val="DefaultParagraphFont"/>
    <w:link w:val="CommentText"/>
    <w:uiPriority w:val="99"/>
    <w:rsid w:val="006572F8"/>
    <w:rPr>
      <w:sz w:val="20"/>
      <w:szCs w:val="20"/>
    </w:rPr>
  </w:style>
  <w:style w:type="paragraph" w:styleId="CommentSubject">
    <w:name w:val="annotation subject"/>
    <w:basedOn w:val="CommentText"/>
    <w:next w:val="CommentText"/>
    <w:link w:val="CommentSubjectChar"/>
    <w:uiPriority w:val="99"/>
    <w:semiHidden/>
    <w:unhideWhenUsed/>
    <w:rsid w:val="006572F8"/>
    <w:rPr>
      <w:b/>
      <w:bCs/>
    </w:rPr>
  </w:style>
  <w:style w:type="character" w:customStyle="1" w:styleId="CommentSubjectChar">
    <w:name w:val="Comment Subject Char"/>
    <w:basedOn w:val="CommentTextChar"/>
    <w:link w:val="CommentSubject"/>
    <w:uiPriority w:val="99"/>
    <w:semiHidden/>
    <w:rsid w:val="006572F8"/>
    <w:rPr>
      <w:b/>
      <w:bCs/>
      <w:sz w:val="20"/>
      <w:szCs w:val="20"/>
    </w:rPr>
  </w:style>
  <w:style w:type="paragraph" w:styleId="BalloonText">
    <w:name w:val="Balloon Text"/>
    <w:basedOn w:val="Normal"/>
    <w:link w:val="BalloonTextChar"/>
    <w:uiPriority w:val="99"/>
    <w:semiHidden/>
    <w:unhideWhenUsed/>
    <w:rsid w:val="0065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F8"/>
    <w:rPr>
      <w:rFonts w:ascii="Segoe UI" w:hAnsi="Segoe UI" w:cs="Segoe UI"/>
      <w:sz w:val="18"/>
      <w:szCs w:val="18"/>
    </w:rPr>
  </w:style>
  <w:style w:type="paragraph" w:styleId="Revision">
    <w:name w:val="Revision"/>
    <w:hidden/>
    <w:uiPriority w:val="99"/>
    <w:semiHidden/>
    <w:rsid w:val="00F35076"/>
    <w:pPr>
      <w:spacing w:after="0" w:line="240" w:lineRule="auto"/>
    </w:pPr>
  </w:style>
  <w:style w:type="paragraph" w:styleId="ListParagraph">
    <w:name w:val="List Paragraph"/>
    <w:basedOn w:val="Normal"/>
    <w:uiPriority w:val="34"/>
    <w:qFormat/>
    <w:rsid w:val="00302D49"/>
    <w:pPr>
      <w:ind w:left="720"/>
      <w:contextualSpacing/>
    </w:pPr>
  </w:style>
  <w:style w:type="character" w:styleId="Hyperlink">
    <w:name w:val="Hyperlink"/>
    <w:basedOn w:val="DefaultParagraphFont"/>
    <w:uiPriority w:val="99"/>
    <w:unhideWhenUsed/>
    <w:rsid w:val="00BA075E"/>
    <w:rPr>
      <w:color w:val="0563C1" w:themeColor="hyperlink"/>
      <w:u w:val="single"/>
    </w:rPr>
  </w:style>
  <w:style w:type="character" w:styleId="UnresolvedMention">
    <w:name w:val="Unresolved Mention"/>
    <w:basedOn w:val="DefaultParagraphFont"/>
    <w:uiPriority w:val="99"/>
    <w:semiHidden/>
    <w:unhideWhenUsed/>
    <w:rsid w:val="00BA0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599666">
      <w:bodyDiv w:val="1"/>
      <w:marLeft w:val="0"/>
      <w:marRight w:val="0"/>
      <w:marTop w:val="0"/>
      <w:marBottom w:val="0"/>
      <w:divBdr>
        <w:top w:val="none" w:sz="0" w:space="0" w:color="auto"/>
        <w:left w:val="none" w:sz="0" w:space="0" w:color="auto"/>
        <w:bottom w:val="none" w:sz="0" w:space="0" w:color="auto"/>
        <w:right w:val="none" w:sz="0" w:space="0" w:color="auto"/>
      </w:divBdr>
      <w:divsChild>
        <w:div w:id="1768309641">
          <w:marLeft w:val="0"/>
          <w:marRight w:val="0"/>
          <w:marTop w:val="0"/>
          <w:marBottom w:val="0"/>
          <w:divBdr>
            <w:top w:val="none" w:sz="0" w:space="0" w:color="auto"/>
            <w:left w:val="none" w:sz="0" w:space="0" w:color="auto"/>
            <w:bottom w:val="none" w:sz="0" w:space="0" w:color="auto"/>
            <w:right w:val="none" w:sz="0" w:space="0" w:color="auto"/>
          </w:divBdr>
        </w:div>
        <w:div w:id="190144763">
          <w:marLeft w:val="0"/>
          <w:marRight w:val="0"/>
          <w:marTop w:val="240"/>
          <w:marBottom w:val="240"/>
          <w:divBdr>
            <w:top w:val="none" w:sz="0" w:space="0" w:color="auto"/>
            <w:left w:val="none" w:sz="0" w:space="0" w:color="auto"/>
            <w:bottom w:val="none" w:sz="0" w:space="0" w:color="auto"/>
            <w:right w:val="none" w:sz="0" w:space="0" w:color="auto"/>
          </w:divBdr>
        </w:div>
      </w:divsChild>
    </w:div>
    <w:div w:id="1839808000">
      <w:bodyDiv w:val="1"/>
      <w:marLeft w:val="0"/>
      <w:marRight w:val="0"/>
      <w:marTop w:val="0"/>
      <w:marBottom w:val="0"/>
      <w:divBdr>
        <w:top w:val="none" w:sz="0" w:space="0" w:color="auto"/>
        <w:left w:val="none" w:sz="0" w:space="0" w:color="auto"/>
        <w:bottom w:val="none" w:sz="0" w:space="0" w:color="auto"/>
        <w:right w:val="none" w:sz="0" w:space="0" w:color="auto"/>
      </w:divBdr>
      <w:divsChild>
        <w:div w:id="293020855">
          <w:marLeft w:val="0"/>
          <w:marRight w:val="0"/>
          <w:marTop w:val="0"/>
          <w:marBottom w:val="0"/>
          <w:divBdr>
            <w:top w:val="none" w:sz="0" w:space="0" w:color="auto"/>
            <w:left w:val="none" w:sz="0" w:space="0" w:color="auto"/>
            <w:bottom w:val="none" w:sz="0" w:space="0" w:color="auto"/>
            <w:right w:val="none" w:sz="0" w:space="0" w:color="auto"/>
          </w:divBdr>
        </w:div>
        <w:div w:id="36452252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ctm@stif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B213-6C5C-4855-9F0F-D312DD44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Michael (Seattle)</dc:creator>
  <cp:keywords/>
  <dc:description/>
  <cp:lastModifiedBy>Tarra Willox</cp:lastModifiedBy>
  <cp:revision>4</cp:revision>
  <dcterms:created xsi:type="dcterms:W3CDTF">2024-12-03T19:07:00Z</dcterms:created>
  <dcterms:modified xsi:type="dcterms:W3CDTF">2024-12-19T19:43:00Z</dcterms:modified>
</cp:coreProperties>
</file>