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6985" w14:textId="77777777" w:rsidR="003A60AC" w:rsidRPr="003A60AC" w:rsidRDefault="0040146D" w:rsidP="00CD6814">
      <w:pPr>
        <w:widowControl/>
        <w:spacing w:line="276" w:lineRule="auto"/>
        <w:rPr>
          <w:rFonts w:asciiTheme="minorHAnsi" w:hAnsiTheme="minorHAnsi" w:cstheme="minorHAnsi"/>
          <w:bCs/>
          <w:snapToGrid/>
          <w:szCs w:val="24"/>
        </w:rPr>
      </w:pPr>
      <w:bookmarkStart w:id="0" w:name="OLE_LINK1"/>
      <w:r w:rsidRPr="003A60AC">
        <w:rPr>
          <w:rFonts w:asciiTheme="minorHAnsi" w:hAnsiTheme="minorHAnsi" w:cstheme="minorHAnsi"/>
          <w:bCs/>
          <w:snapToGrid/>
          <w:szCs w:val="24"/>
        </w:rPr>
        <w:t>Independent Banker</w:t>
      </w:r>
    </w:p>
    <w:p w14:paraId="395A44A3" w14:textId="5C0C1309" w:rsidR="0040146D" w:rsidRPr="003A60AC" w:rsidRDefault="0040146D" w:rsidP="00CD6814">
      <w:pPr>
        <w:widowControl/>
        <w:spacing w:line="276" w:lineRule="auto"/>
        <w:rPr>
          <w:rFonts w:asciiTheme="minorHAnsi" w:hAnsiTheme="minorHAnsi" w:cstheme="minorHAnsi"/>
          <w:bCs/>
          <w:snapToGrid/>
          <w:szCs w:val="24"/>
        </w:rPr>
      </w:pPr>
      <w:r w:rsidRPr="003A60AC">
        <w:rPr>
          <w:rFonts w:asciiTheme="minorHAnsi" w:hAnsiTheme="minorHAnsi" w:cstheme="minorHAnsi"/>
          <w:bCs/>
          <w:snapToGrid/>
          <w:szCs w:val="24"/>
        </w:rPr>
        <w:t xml:space="preserve">December </w:t>
      </w:r>
      <w:r w:rsidR="003A60AC" w:rsidRPr="003A60AC">
        <w:rPr>
          <w:rFonts w:asciiTheme="minorHAnsi" w:hAnsiTheme="minorHAnsi" w:cstheme="minorHAnsi"/>
          <w:bCs/>
          <w:snapToGrid/>
          <w:szCs w:val="24"/>
        </w:rPr>
        <w:t>2022</w:t>
      </w:r>
    </w:p>
    <w:p w14:paraId="56431C5B" w14:textId="193DDA52" w:rsidR="003A60AC" w:rsidRPr="003A60AC" w:rsidRDefault="003A60AC" w:rsidP="00CD6814">
      <w:pPr>
        <w:widowControl/>
        <w:spacing w:line="276" w:lineRule="auto"/>
        <w:rPr>
          <w:rFonts w:asciiTheme="minorHAnsi" w:hAnsiTheme="minorHAnsi" w:cstheme="minorHAnsi"/>
          <w:bCs/>
          <w:snapToGrid/>
          <w:szCs w:val="24"/>
        </w:rPr>
      </w:pPr>
      <w:r w:rsidRPr="003A60AC">
        <w:rPr>
          <w:rFonts w:asciiTheme="minorHAnsi" w:hAnsiTheme="minorHAnsi" w:cstheme="minorHAnsi"/>
          <w:bCs/>
          <w:snapToGrid/>
          <w:szCs w:val="24"/>
        </w:rPr>
        <w:t>Portfolio</w:t>
      </w:r>
    </w:p>
    <w:p w14:paraId="240CA7AF" w14:textId="77777777" w:rsidR="003A60AC" w:rsidRPr="003A60AC" w:rsidRDefault="003A60AC" w:rsidP="00CD6814">
      <w:pPr>
        <w:widowControl/>
        <w:spacing w:line="276" w:lineRule="auto"/>
        <w:rPr>
          <w:rFonts w:asciiTheme="minorHAnsi" w:hAnsiTheme="minorHAnsi" w:cstheme="minorHAnsi"/>
          <w:bCs/>
          <w:szCs w:val="24"/>
        </w:rPr>
      </w:pPr>
    </w:p>
    <w:p w14:paraId="1711066F" w14:textId="434E4267" w:rsidR="00E01E8D" w:rsidRPr="003A60AC" w:rsidRDefault="003A60AC" w:rsidP="00CD6814">
      <w:pPr>
        <w:spacing w:line="276" w:lineRule="auto"/>
        <w:rPr>
          <w:rFonts w:asciiTheme="minorHAnsi" w:hAnsiTheme="minorHAnsi" w:cstheme="minorHAnsi"/>
          <w:bCs/>
          <w:szCs w:val="24"/>
        </w:rPr>
      </w:pPr>
      <w:r w:rsidRPr="003A60AC">
        <w:rPr>
          <w:rFonts w:asciiTheme="minorHAnsi" w:hAnsiTheme="minorHAnsi" w:cstheme="minorHAnsi"/>
          <w:bCs/>
          <w:szCs w:val="24"/>
        </w:rPr>
        <w:t>[tag]</w:t>
      </w:r>
      <w:r w:rsidR="0040146D" w:rsidRPr="003A60AC">
        <w:rPr>
          <w:rFonts w:asciiTheme="minorHAnsi" w:hAnsiTheme="minorHAnsi" w:cstheme="minorHAnsi"/>
          <w:bCs/>
          <w:szCs w:val="24"/>
        </w:rPr>
        <w:t xml:space="preserve"> Lending</w:t>
      </w:r>
    </w:p>
    <w:p w14:paraId="1D197CA7" w14:textId="77777777" w:rsidR="00677124" w:rsidRPr="003A60AC" w:rsidRDefault="00677124" w:rsidP="00CD6814">
      <w:pPr>
        <w:spacing w:line="276" w:lineRule="auto"/>
        <w:rPr>
          <w:bCs/>
          <w:szCs w:val="24"/>
        </w:rPr>
      </w:pPr>
      <w:bookmarkStart w:id="1" w:name="_Hlk113606809"/>
      <w:bookmarkStart w:id="2" w:name="_Hlk84324224"/>
      <w:bookmarkStart w:id="3" w:name="_Hlk113365781"/>
      <w:bookmarkStart w:id="4" w:name="_Hlk113363244"/>
      <w:bookmarkEnd w:id="0"/>
    </w:p>
    <w:p w14:paraId="77ECC9DC" w14:textId="56B6794B" w:rsidR="00EF4E11" w:rsidRDefault="003A60AC" w:rsidP="00CD6814">
      <w:pPr>
        <w:spacing w:line="276" w:lineRule="auto"/>
        <w:rPr>
          <w:bCs/>
          <w:szCs w:val="24"/>
        </w:rPr>
      </w:pPr>
      <w:r w:rsidRPr="003A60AC">
        <w:rPr>
          <w:bCs/>
          <w:szCs w:val="24"/>
        </w:rPr>
        <w:t>[</w:t>
      </w:r>
      <w:proofErr w:type="spellStart"/>
      <w:r w:rsidRPr="003A60AC">
        <w:rPr>
          <w:bCs/>
          <w:szCs w:val="24"/>
        </w:rPr>
        <w:t>hed</w:t>
      </w:r>
      <w:proofErr w:type="spellEnd"/>
      <w:r w:rsidRPr="003A60AC">
        <w:rPr>
          <w:bCs/>
          <w:szCs w:val="24"/>
        </w:rPr>
        <w:t xml:space="preserve">] </w:t>
      </w:r>
      <w:r w:rsidR="00D02D4A">
        <w:rPr>
          <w:bCs/>
          <w:szCs w:val="24"/>
        </w:rPr>
        <w:t>Battling</w:t>
      </w:r>
      <w:r w:rsidR="00D02D4A" w:rsidRPr="003A60AC">
        <w:rPr>
          <w:bCs/>
          <w:szCs w:val="24"/>
        </w:rPr>
        <w:t xml:space="preserve"> </w:t>
      </w:r>
      <w:r w:rsidR="00EC22DC" w:rsidRPr="003A60AC">
        <w:rPr>
          <w:bCs/>
          <w:szCs w:val="24"/>
        </w:rPr>
        <w:t>rate headwinds to maintain momentum</w:t>
      </w:r>
    </w:p>
    <w:p w14:paraId="7C076A4D" w14:textId="0C0B6F9E" w:rsidR="0006470C" w:rsidRDefault="0006470C" w:rsidP="00CD6814">
      <w:pPr>
        <w:spacing w:line="276" w:lineRule="auto"/>
        <w:rPr>
          <w:bCs/>
          <w:szCs w:val="24"/>
        </w:rPr>
      </w:pPr>
    </w:p>
    <w:p w14:paraId="2DC5BE37" w14:textId="1C3B9DFE" w:rsidR="0006470C" w:rsidRDefault="0006470C" w:rsidP="00CD6814">
      <w:pPr>
        <w:spacing w:line="276" w:lineRule="auto"/>
        <w:rPr>
          <w:bCs/>
          <w:szCs w:val="24"/>
        </w:rPr>
      </w:pPr>
      <w:r>
        <w:rPr>
          <w:bCs/>
          <w:szCs w:val="24"/>
        </w:rPr>
        <w:t>[</w:t>
      </w:r>
      <w:proofErr w:type="spellStart"/>
      <w:r>
        <w:rPr>
          <w:bCs/>
          <w:szCs w:val="24"/>
        </w:rPr>
        <w:t>dek</w:t>
      </w:r>
      <w:proofErr w:type="spellEnd"/>
      <w:r>
        <w:rPr>
          <w:bCs/>
          <w:szCs w:val="24"/>
        </w:rPr>
        <w:t>]</w:t>
      </w:r>
      <w:r w:rsidR="002E0B4F">
        <w:rPr>
          <w:bCs/>
          <w:szCs w:val="24"/>
        </w:rPr>
        <w:t xml:space="preserve"> In the </w:t>
      </w:r>
      <w:r w:rsidR="00D02D4A">
        <w:rPr>
          <w:bCs/>
          <w:szCs w:val="24"/>
        </w:rPr>
        <w:t>p</w:t>
      </w:r>
      <w:r w:rsidR="002E0B4F">
        <w:rPr>
          <w:bCs/>
          <w:szCs w:val="24"/>
        </w:rPr>
        <w:t>ast few years, lending landscape was unpredictable</w:t>
      </w:r>
      <w:r w:rsidR="00745522">
        <w:rPr>
          <w:bCs/>
          <w:szCs w:val="24"/>
        </w:rPr>
        <w:t xml:space="preserve">, </w:t>
      </w:r>
      <w:r w:rsidR="002E0B4F">
        <w:rPr>
          <w:bCs/>
          <w:szCs w:val="24"/>
        </w:rPr>
        <w:t xml:space="preserve">to say the least. Community </w:t>
      </w:r>
      <w:r w:rsidR="00D02D4A">
        <w:rPr>
          <w:bCs/>
          <w:szCs w:val="24"/>
        </w:rPr>
        <w:t>b</w:t>
      </w:r>
      <w:r w:rsidR="002E0B4F">
        <w:rPr>
          <w:bCs/>
          <w:szCs w:val="24"/>
        </w:rPr>
        <w:t>ankers look back at what happened in 2022, and what’s on the road ahead.</w:t>
      </w:r>
    </w:p>
    <w:p w14:paraId="41F03CA9" w14:textId="77777777" w:rsidR="0006470C" w:rsidRDefault="0006470C" w:rsidP="00CD6814">
      <w:pPr>
        <w:spacing w:line="276" w:lineRule="auto"/>
        <w:rPr>
          <w:bCs/>
          <w:szCs w:val="24"/>
        </w:rPr>
      </w:pPr>
    </w:p>
    <w:p w14:paraId="06718469" w14:textId="6519E15B" w:rsidR="0006470C" w:rsidRPr="003A60AC" w:rsidRDefault="0006470C" w:rsidP="00CD6814">
      <w:pPr>
        <w:spacing w:line="276" w:lineRule="auto"/>
        <w:rPr>
          <w:bCs/>
          <w:szCs w:val="24"/>
        </w:rPr>
      </w:pPr>
      <w:r>
        <w:rPr>
          <w:bCs/>
          <w:szCs w:val="24"/>
        </w:rPr>
        <w:t>[byline]</w:t>
      </w:r>
      <w:r w:rsidR="00B454B7">
        <w:rPr>
          <w:bCs/>
          <w:szCs w:val="24"/>
        </w:rPr>
        <w:t xml:space="preserve"> By </w:t>
      </w:r>
      <w:r w:rsidR="00B454B7" w:rsidRPr="00B454B7">
        <w:rPr>
          <w:bCs/>
          <w:szCs w:val="24"/>
        </w:rPr>
        <w:t>Beth Mattson-</w:t>
      </w:r>
      <w:proofErr w:type="spellStart"/>
      <w:r w:rsidR="00B454B7" w:rsidRPr="00B454B7">
        <w:rPr>
          <w:bCs/>
          <w:szCs w:val="24"/>
        </w:rPr>
        <w:t>Teig</w:t>
      </w:r>
      <w:proofErr w:type="spellEnd"/>
    </w:p>
    <w:p w14:paraId="3B108617" w14:textId="14BB6CD8" w:rsidR="00FC6A60" w:rsidRDefault="00FC6A60" w:rsidP="00CD6814">
      <w:pPr>
        <w:spacing w:line="276" w:lineRule="auto"/>
        <w:rPr>
          <w:bCs/>
          <w:szCs w:val="24"/>
        </w:rPr>
      </w:pPr>
    </w:p>
    <w:p w14:paraId="754B6339" w14:textId="3E831F7C" w:rsidR="003A60AC" w:rsidRPr="003A60AC" w:rsidRDefault="003A60AC" w:rsidP="00CD6814">
      <w:pPr>
        <w:spacing w:line="276" w:lineRule="auto"/>
        <w:rPr>
          <w:bCs/>
          <w:szCs w:val="24"/>
        </w:rPr>
      </w:pPr>
      <w:r>
        <w:rPr>
          <w:bCs/>
          <w:szCs w:val="24"/>
        </w:rPr>
        <w:t>[body]</w:t>
      </w:r>
    </w:p>
    <w:p w14:paraId="4FC09515" w14:textId="16BD0E1F" w:rsidR="004607ED" w:rsidRPr="003A60AC" w:rsidRDefault="00657911" w:rsidP="00CD6814">
      <w:pPr>
        <w:spacing w:line="276" w:lineRule="auto"/>
        <w:rPr>
          <w:bCs/>
          <w:szCs w:val="24"/>
        </w:rPr>
      </w:pPr>
      <w:r w:rsidRPr="003A60AC">
        <w:rPr>
          <w:bCs/>
          <w:szCs w:val="24"/>
        </w:rPr>
        <w:t>The rising interest rate environment in 2022 has created both challenges and opportunities for community bank lenders.</w:t>
      </w:r>
    </w:p>
    <w:p w14:paraId="45813092" w14:textId="3628CCC0" w:rsidR="00374306" w:rsidRPr="003A60AC" w:rsidRDefault="00717B6B" w:rsidP="00CD6814">
      <w:pPr>
        <w:spacing w:line="276" w:lineRule="auto"/>
        <w:rPr>
          <w:bCs/>
          <w:szCs w:val="24"/>
        </w:rPr>
      </w:pPr>
      <w:r w:rsidRPr="003A60AC">
        <w:rPr>
          <w:bCs/>
          <w:szCs w:val="24"/>
        </w:rPr>
        <w:t xml:space="preserve">One of the biggest </w:t>
      </w:r>
      <w:r w:rsidR="003463D1">
        <w:rPr>
          <w:bCs/>
          <w:szCs w:val="24"/>
        </w:rPr>
        <w:t>challenges</w:t>
      </w:r>
      <w:r w:rsidR="003463D1" w:rsidRPr="003A60AC">
        <w:rPr>
          <w:bCs/>
          <w:szCs w:val="24"/>
        </w:rPr>
        <w:t xml:space="preserve"> </w:t>
      </w:r>
      <w:r w:rsidRPr="003A60AC">
        <w:rPr>
          <w:bCs/>
          <w:szCs w:val="24"/>
        </w:rPr>
        <w:t xml:space="preserve">has been </w:t>
      </w:r>
      <w:r w:rsidR="00EC22DC" w:rsidRPr="003A60AC">
        <w:rPr>
          <w:bCs/>
          <w:szCs w:val="24"/>
        </w:rPr>
        <w:t xml:space="preserve">a significant </w:t>
      </w:r>
      <w:r w:rsidR="00657911" w:rsidRPr="003A60AC">
        <w:rPr>
          <w:bCs/>
          <w:szCs w:val="24"/>
        </w:rPr>
        <w:t>cooling effect on the mortgage market.</w:t>
      </w:r>
      <w:r w:rsidR="003F044B" w:rsidRPr="003A60AC">
        <w:rPr>
          <w:bCs/>
          <w:szCs w:val="24"/>
        </w:rPr>
        <w:t xml:space="preserve"> According to Fannie Mae’s </w:t>
      </w:r>
      <w:r w:rsidRPr="003A60AC">
        <w:rPr>
          <w:bCs/>
          <w:szCs w:val="24"/>
        </w:rPr>
        <w:t>September</w:t>
      </w:r>
      <w:r w:rsidR="003F044B" w:rsidRPr="003A60AC">
        <w:rPr>
          <w:bCs/>
          <w:szCs w:val="24"/>
        </w:rPr>
        <w:t xml:space="preserve"> housing market forecast, </w:t>
      </w:r>
      <w:r w:rsidR="009769BE" w:rsidRPr="003A60AC">
        <w:rPr>
          <w:bCs/>
          <w:szCs w:val="24"/>
        </w:rPr>
        <w:t xml:space="preserve">mortgage originations </w:t>
      </w:r>
      <w:r w:rsidRPr="003A60AC">
        <w:rPr>
          <w:bCs/>
          <w:szCs w:val="24"/>
        </w:rPr>
        <w:t>are expected to</w:t>
      </w:r>
      <w:r w:rsidR="009769BE" w:rsidRPr="003A60AC">
        <w:rPr>
          <w:bCs/>
          <w:szCs w:val="24"/>
        </w:rPr>
        <w:t xml:space="preserve"> drop sharply from nearly $4.6 trillion in 2021 to $2.4 trillion this year. The impact is somewhat softened by the fact that mortgage activity is pulling back from extreme levels to a more normalized pace</w:t>
      </w:r>
      <w:r w:rsidRPr="003A60AC">
        <w:rPr>
          <w:bCs/>
          <w:szCs w:val="24"/>
        </w:rPr>
        <w:t>, with originations now more on par with 2019 levels</w:t>
      </w:r>
      <w:r w:rsidR="00374306" w:rsidRPr="003A60AC">
        <w:rPr>
          <w:bCs/>
          <w:szCs w:val="24"/>
        </w:rPr>
        <w:t>.</w:t>
      </w:r>
    </w:p>
    <w:p w14:paraId="4E19995A" w14:textId="1C175C4E" w:rsidR="00374306" w:rsidRPr="003A60AC" w:rsidRDefault="00C51816" w:rsidP="00CD6814">
      <w:pPr>
        <w:spacing w:line="276" w:lineRule="auto"/>
        <w:rPr>
          <w:bCs/>
          <w:szCs w:val="24"/>
        </w:rPr>
      </w:pPr>
      <w:r w:rsidRPr="003A60AC">
        <w:rPr>
          <w:bCs/>
          <w:szCs w:val="24"/>
        </w:rPr>
        <w:t xml:space="preserve">Although community bankers are cautious on how higher rates could </w:t>
      </w:r>
      <w:r w:rsidR="00717B6B" w:rsidRPr="003A60AC">
        <w:rPr>
          <w:bCs/>
          <w:szCs w:val="24"/>
        </w:rPr>
        <w:t>weigh</w:t>
      </w:r>
      <w:r w:rsidRPr="003A60AC">
        <w:rPr>
          <w:bCs/>
          <w:szCs w:val="24"/>
        </w:rPr>
        <w:t xml:space="preserve"> on demand, many</w:t>
      </w:r>
      <w:r w:rsidR="00374306" w:rsidRPr="003A60AC">
        <w:rPr>
          <w:bCs/>
          <w:szCs w:val="24"/>
        </w:rPr>
        <w:t xml:space="preserve"> are persevering. “We haven’t seen any pullback yet</w:t>
      </w:r>
      <w:r w:rsidR="00162442">
        <w:rPr>
          <w:bCs/>
          <w:szCs w:val="24"/>
        </w:rPr>
        <w:t xml:space="preserve">,” says </w:t>
      </w:r>
      <w:r w:rsidR="00162442" w:rsidRPr="003A60AC">
        <w:rPr>
          <w:bCs/>
          <w:szCs w:val="24"/>
        </w:rPr>
        <w:t xml:space="preserve">Randy </w:t>
      </w:r>
      <w:proofErr w:type="spellStart"/>
      <w:r w:rsidR="00162442" w:rsidRPr="003A60AC">
        <w:rPr>
          <w:bCs/>
          <w:szCs w:val="24"/>
        </w:rPr>
        <w:t>Vicknair</w:t>
      </w:r>
      <w:proofErr w:type="spellEnd"/>
      <w:r w:rsidR="00162442" w:rsidRPr="003A60AC">
        <w:rPr>
          <w:bCs/>
          <w:szCs w:val="24"/>
        </w:rPr>
        <w:t>, chief lending officer at First Guaranty Bank</w:t>
      </w:r>
      <w:r w:rsidR="00162442">
        <w:rPr>
          <w:bCs/>
          <w:szCs w:val="24"/>
        </w:rPr>
        <w:t xml:space="preserve"> in Hammon</w:t>
      </w:r>
      <w:r w:rsidR="00DC5852">
        <w:rPr>
          <w:bCs/>
          <w:szCs w:val="24"/>
        </w:rPr>
        <w:t>d</w:t>
      </w:r>
      <w:r w:rsidR="00162442">
        <w:rPr>
          <w:bCs/>
          <w:szCs w:val="24"/>
        </w:rPr>
        <w:t>, La.</w:t>
      </w:r>
      <w:r w:rsidR="00162442" w:rsidRPr="003A60AC">
        <w:rPr>
          <w:bCs/>
          <w:szCs w:val="24"/>
        </w:rPr>
        <w:t xml:space="preserve"> </w:t>
      </w:r>
      <w:r w:rsidR="00162442">
        <w:rPr>
          <w:bCs/>
          <w:szCs w:val="24"/>
        </w:rPr>
        <w:t>“</w:t>
      </w:r>
      <w:r w:rsidR="00374306" w:rsidRPr="003A60AC">
        <w:rPr>
          <w:bCs/>
          <w:szCs w:val="24"/>
        </w:rPr>
        <w:t>Obviously, as interest rates change, that could change as well, but in our markets</w:t>
      </w:r>
      <w:r w:rsidR="00162442">
        <w:rPr>
          <w:bCs/>
          <w:szCs w:val="24"/>
        </w:rPr>
        <w:t>—</w:t>
      </w:r>
      <w:r w:rsidR="0040146D" w:rsidRPr="003A60AC">
        <w:rPr>
          <w:bCs/>
          <w:szCs w:val="24"/>
        </w:rPr>
        <w:t>Louisiana</w:t>
      </w:r>
      <w:r w:rsidR="00374306" w:rsidRPr="003A60AC">
        <w:rPr>
          <w:bCs/>
          <w:szCs w:val="24"/>
        </w:rPr>
        <w:t>, Texas, West Virginia and Kentucky</w:t>
      </w:r>
      <w:r w:rsidR="00162442">
        <w:rPr>
          <w:bCs/>
          <w:szCs w:val="24"/>
        </w:rPr>
        <w:t>—</w:t>
      </w:r>
      <w:r w:rsidR="00374306" w:rsidRPr="003A60AC">
        <w:rPr>
          <w:bCs/>
          <w:szCs w:val="24"/>
        </w:rPr>
        <w:t xml:space="preserve">demand is </w:t>
      </w:r>
      <w:proofErr w:type="gramStart"/>
      <w:r w:rsidR="00374306" w:rsidRPr="003A60AC">
        <w:rPr>
          <w:bCs/>
          <w:szCs w:val="24"/>
        </w:rPr>
        <w:t>good</w:t>
      </w:r>
      <w:proofErr w:type="gramEnd"/>
      <w:r w:rsidR="00374306" w:rsidRPr="003A60AC">
        <w:rPr>
          <w:bCs/>
          <w:szCs w:val="24"/>
        </w:rPr>
        <w:t xml:space="preserve"> and customers are proceeding with deals both on the consumer and commercial side</w:t>
      </w:r>
      <w:r w:rsidR="00162442">
        <w:rPr>
          <w:bCs/>
          <w:szCs w:val="24"/>
        </w:rPr>
        <w:t>.”</w:t>
      </w:r>
    </w:p>
    <w:p w14:paraId="098C041F" w14:textId="1B792572" w:rsidR="00374306" w:rsidRPr="003A60AC" w:rsidRDefault="00162442" w:rsidP="00CD6814">
      <w:pPr>
        <w:spacing w:line="276" w:lineRule="auto"/>
        <w:rPr>
          <w:bCs/>
          <w:szCs w:val="24"/>
        </w:rPr>
      </w:pPr>
      <w:r>
        <w:rPr>
          <w:bCs/>
          <w:szCs w:val="24"/>
        </w:rPr>
        <w:t>The $3 billion-asset community bank</w:t>
      </w:r>
      <w:r w:rsidR="00374306" w:rsidRPr="003A60AC">
        <w:rPr>
          <w:bCs/>
          <w:szCs w:val="24"/>
        </w:rPr>
        <w:t xml:space="preserve"> has </w:t>
      </w:r>
      <w:r w:rsidR="00717B6B" w:rsidRPr="003A60AC">
        <w:rPr>
          <w:bCs/>
          <w:szCs w:val="24"/>
        </w:rPr>
        <w:t>experienced</w:t>
      </w:r>
      <w:r w:rsidR="00374306" w:rsidRPr="003A60AC">
        <w:rPr>
          <w:bCs/>
          <w:szCs w:val="24"/>
        </w:rPr>
        <w:t xml:space="preserve"> steady growth in its loan originations over the past few years</w:t>
      </w:r>
      <w:r w:rsidR="003463D1">
        <w:rPr>
          <w:bCs/>
          <w:szCs w:val="24"/>
        </w:rPr>
        <w:t>,</w:t>
      </w:r>
      <w:r w:rsidR="00374306" w:rsidRPr="003A60AC">
        <w:rPr>
          <w:bCs/>
          <w:szCs w:val="24"/>
        </w:rPr>
        <w:t xml:space="preserve"> and </w:t>
      </w:r>
      <w:commentRangeStart w:id="5"/>
      <w:r w:rsidR="00374306" w:rsidRPr="003A60AC">
        <w:rPr>
          <w:bCs/>
          <w:szCs w:val="24"/>
        </w:rPr>
        <w:t>2021</w:t>
      </w:r>
      <w:commentRangeEnd w:id="5"/>
      <w:r w:rsidR="003463D1">
        <w:rPr>
          <w:rStyle w:val="CommentReference"/>
        </w:rPr>
        <w:commentReference w:id="5"/>
      </w:r>
      <w:r w:rsidR="00374306" w:rsidRPr="003A60AC">
        <w:rPr>
          <w:bCs/>
          <w:szCs w:val="24"/>
        </w:rPr>
        <w:t xml:space="preserve"> </w:t>
      </w:r>
      <w:r w:rsidR="003463D1">
        <w:rPr>
          <w:bCs/>
          <w:szCs w:val="24"/>
        </w:rPr>
        <w:t>wa</w:t>
      </w:r>
      <w:r w:rsidR="00374306" w:rsidRPr="003A60AC">
        <w:rPr>
          <w:bCs/>
          <w:szCs w:val="24"/>
        </w:rPr>
        <w:t xml:space="preserve">s no exception. </w:t>
      </w:r>
      <w:proofErr w:type="spellStart"/>
      <w:r w:rsidR="00374306" w:rsidRPr="003A60AC">
        <w:rPr>
          <w:bCs/>
          <w:szCs w:val="24"/>
        </w:rPr>
        <w:t>Vicknair</w:t>
      </w:r>
      <w:proofErr w:type="spellEnd"/>
      <w:r w:rsidR="00374306" w:rsidRPr="003A60AC">
        <w:rPr>
          <w:bCs/>
          <w:szCs w:val="24"/>
        </w:rPr>
        <w:t xml:space="preserve"> credits </w:t>
      </w:r>
      <w:r w:rsidR="00717B6B" w:rsidRPr="003A60AC">
        <w:rPr>
          <w:bCs/>
          <w:szCs w:val="24"/>
        </w:rPr>
        <w:t xml:space="preserve">that </w:t>
      </w:r>
      <w:r w:rsidR="00C51816" w:rsidRPr="003A60AC">
        <w:rPr>
          <w:bCs/>
          <w:szCs w:val="24"/>
        </w:rPr>
        <w:t xml:space="preserve">activity in part to </w:t>
      </w:r>
      <w:r w:rsidR="00717B6B" w:rsidRPr="003A60AC">
        <w:rPr>
          <w:bCs/>
          <w:szCs w:val="24"/>
        </w:rPr>
        <w:t xml:space="preserve">a team of loan officers </w:t>
      </w:r>
      <w:r w:rsidR="003463D1">
        <w:rPr>
          <w:bCs/>
          <w:szCs w:val="24"/>
        </w:rPr>
        <w:t>who are</w:t>
      </w:r>
      <w:r w:rsidR="00374306" w:rsidRPr="003A60AC">
        <w:rPr>
          <w:bCs/>
          <w:szCs w:val="24"/>
        </w:rPr>
        <w:t xml:space="preserve"> focused on developing and maintaining relationships. “Having those historical relationships with customers and building on those relationships has been crucial for us,</w:t>
      </w:r>
      <w:r>
        <w:rPr>
          <w:bCs/>
          <w:szCs w:val="24"/>
        </w:rPr>
        <w:t>” he says,</w:t>
      </w:r>
      <w:r w:rsidR="00374306" w:rsidRPr="003A60AC">
        <w:rPr>
          <w:bCs/>
          <w:szCs w:val="24"/>
        </w:rPr>
        <w:t xml:space="preserve"> </w:t>
      </w:r>
      <w:r>
        <w:rPr>
          <w:bCs/>
          <w:szCs w:val="24"/>
        </w:rPr>
        <w:t>“</w:t>
      </w:r>
      <w:r w:rsidR="00374306" w:rsidRPr="003A60AC">
        <w:rPr>
          <w:bCs/>
          <w:szCs w:val="24"/>
        </w:rPr>
        <w:t>because we tend to be the first bank they call when they need some sort of new money.</w:t>
      </w:r>
      <w:r>
        <w:rPr>
          <w:bCs/>
          <w:szCs w:val="24"/>
        </w:rPr>
        <w:t>”</w:t>
      </w:r>
      <w:r w:rsidR="00374306" w:rsidRPr="003A60AC">
        <w:rPr>
          <w:bCs/>
          <w:szCs w:val="24"/>
        </w:rPr>
        <w:t xml:space="preserve"> </w:t>
      </w:r>
    </w:p>
    <w:p w14:paraId="19FBF9C1" w14:textId="72A9291E" w:rsidR="00374306" w:rsidRPr="003A60AC" w:rsidRDefault="00374306" w:rsidP="00CD6814">
      <w:pPr>
        <w:spacing w:line="276" w:lineRule="auto"/>
        <w:rPr>
          <w:bCs/>
          <w:szCs w:val="24"/>
        </w:rPr>
      </w:pPr>
    </w:p>
    <w:p w14:paraId="5E9B5317" w14:textId="7F7C8BFA" w:rsidR="00374306" w:rsidRPr="003A60AC" w:rsidRDefault="00B454B7" w:rsidP="00CD6814">
      <w:pPr>
        <w:spacing w:line="276" w:lineRule="auto"/>
        <w:rPr>
          <w:bCs/>
          <w:szCs w:val="24"/>
        </w:rPr>
      </w:pPr>
      <w:r>
        <w:rPr>
          <w:bCs/>
          <w:szCs w:val="24"/>
        </w:rPr>
        <w:t>[</w:t>
      </w:r>
      <w:proofErr w:type="spellStart"/>
      <w:r>
        <w:rPr>
          <w:bCs/>
          <w:szCs w:val="24"/>
        </w:rPr>
        <w:t>subhed</w:t>
      </w:r>
      <w:proofErr w:type="spellEnd"/>
      <w:r>
        <w:rPr>
          <w:bCs/>
          <w:szCs w:val="24"/>
        </w:rPr>
        <w:t xml:space="preserve">] </w:t>
      </w:r>
      <w:r w:rsidR="00330C24" w:rsidRPr="00426910">
        <w:rPr>
          <w:b/>
          <w:szCs w:val="24"/>
        </w:rPr>
        <w:t>Strong momentum lifts volume</w:t>
      </w:r>
    </w:p>
    <w:p w14:paraId="301D76AF" w14:textId="46654F22" w:rsidR="00677124" w:rsidRPr="003A60AC" w:rsidRDefault="00717B6B" w:rsidP="00CD6814">
      <w:pPr>
        <w:spacing w:line="276" w:lineRule="auto"/>
        <w:rPr>
          <w:bCs/>
          <w:szCs w:val="24"/>
        </w:rPr>
      </w:pPr>
      <w:r w:rsidRPr="003A60AC">
        <w:rPr>
          <w:bCs/>
          <w:szCs w:val="24"/>
        </w:rPr>
        <w:t>S</w:t>
      </w:r>
      <w:r w:rsidR="00330C24" w:rsidRPr="003A60AC">
        <w:rPr>
          <w:bCs/>
          <w:szCs w:val="24"/>
        </w:rPr>
        <w:t xml:space="preserve">trong momentum </w:t>
      </w:r>
      <w:r w:rsidR="00C51816" w:rsidRPr="003A60AC">
        <w:rPr>
          <w:bCs/>
          <w:szCs w:val="24"/>
        </w:rPr>
        <w:t>in the first half of</w:t>
      </w:r>
      <w:r w:rsidR="00330C24" w:rsidRPr="003A60AC">
        <w:rPr>
          <w:bCs/>
          <w:szCs w:val="24"/>
        </w:rPr>
        <w:t xml:space="preserve"> </w:t>
      </w:r>
      <w:r w:rsidR="003463D1">
        <w:rPr>
          <w:bCs/>
          <w:szCs w:val="24"/>
        </w:rPr>
        <w:t>2022</w:t>
      </w:r>
      <w:r w:rsidR="00330C24" w:rsidRPr="003A60AC">
        <w:rPr>
          <w:bCs/>
          <w:szCs w:val="24"/>
        </w:rPr>
        <w:t xml:space="preserve"> </w:t>
      </w:r>
      <w:r w:rsidRPr="003A60AC">
        <w:rPr>
          <w:bCs/>
          <w:szCs w:val="24"/>
        </w:rPr>
        <w:t>may help</w:t>
      </w:r>
      <w:r w:rsidR="00330C24" w:rsidRPr="003A60AC">
        <w:rPr>
          <w:bCs/>
          <w:szCs w:val="24"/>
        </w:rPr>
        <w:t xml:space="preserve"> to sustain </w:t>
      </w:r>
      <w:r w:rsidRPr="003A60AC">
        <w:rPr>
          <w:bCs/>
          <w:szCs w:val="24"/>
        </w:rPr>
        <w:t>year-end results</w:t>
      </w:r>
      <w:r w:rsidR="00330C24" w:rsidRPr="003A60AC">
        <w:rPr>
          <w:bCs/>
          <w:szCs w:val="24"/>
        </w:rPr>
        <w:t xml:space="preserve">. </w:t>
      </w:r>
      <w:r w:rsidR="00677124" w:rsidRPr="003A60AC">
        <w:rPr>
          <w:bCs/>
          <w:szCs w:val="24"/>
        </w:rPr>
        <w:t xml:space="preserve">For example, </w:t>
      </w:r>
      <w:r w:rsidR="00C51816" w:rsidRPr="003A60AC">
        <w:rPr>
          <w:bCs/>
          <w:szCs w:val="24"/>
        </w:rPr>
        <w:t>commercial</w:t>
      </w:r>
      <w:r w:rsidR="00677124" w:rsidRPr="003A60AC">
        <w:rPr>
          <w:bCs/>
          <w:szCs w:val="24"/>
        </w:rPr>
        <w:t xml:space="preserve"> real estate</w:t>
      </w:r>
      <w:r w:rsidR="00CF4D58">
        <w:rPr>
          <w:bCs/>
          <w:szCs w:val="24"/>
        </w:rPr>
        <w:t xml:space="preserve"> (CRE)</w:t>
      </w:r>
      <w:r w:rsidR="00677124" w:rsidRPr="003A60AC">
        <w:rPr>
          <w:bCs/>
          <w:szCs w:val="24"/>
        </w:rPr>
        <w:t xml:space="preserve"> transaction volume during the first half </w:t>
      </w:r>
      <w:r w:rsidR="00162442">
        <w:rPr>
          <w:bCs/>
          <w:szCs w:val="24"/>
        </w:rPr>
        <w:t>of</w:t>
      </w:r>
      <w:r w:rsidR="003463D1">
        <w:rPr>
          <w:bCs/>
          <w:szCs w:val="24"/>
        </w:rPr>
        <w:t xml:space="preserve"> the year</w:t>
      </w:r>
      <w:r w:rsidR="00162442">
        <w:rPr>
          <w:bCs/>
          <w:szCs w:val="24"/>
        </w:rPr>
        <w:t xml:space="preserve"> </w:t>
      </w:r>
      <w:r w:rsidR="00677124" w:rsidRPr="003A60AC">
        <w:rPr>
          <w:bCs/>
          <w:szCs w:val="24"/>
        </w:rPr>
        <w:t xml:space="preserve">totaled some $375.8 billion, up 38% compared </w:t>
      </w:r>
      <w:r w:rsidR="003463D1">
        <w:rPr>
          <w:bCs/>
          <w:szCs w:val="24"/>
        </w:rPr>
        <w:t>with</w:t>
      </w:r>
      <w:r w:rsidR="003463D1" w:rsidRPr="003A60AC">
        <w:rPr>
          <w:bCs/>
          <w:szCs w:val="24"/>
        </w:rPr>
        <w:t xml:space="preserve"> </w:t>
      </w:r>
      <w:r w:rsidR="00677124" w:rsidRPr="003A60AC">
        <w:rPr>
          <w:bCs/>
          <w:szCs w:val="24"/>
        </w:rPr>
        <w:t xml:space="preserve">the </w:t>
      </w:r>
      <w:r w:rsidR="00051090" w:rsidRPr="003A60AC">
        <w:rPr>
          <w:bCs/>
          <w:szCs w:val="24"/>
        </w:rPr>
        <w:t>same period</w:t>
      </w:r>
      <w:r w:rsidR="00677124" w:rsidRPr="003A60AC">
        <w:rPr>
          <w:bCs/>
          <w:szCs w:val="24"/>
        </w:rPr>
        <w:t xml:space="preserve"> </w:t>
      </w:r>
      <w:r w:rsidR="00162442">
        <w:rPr>
          <w:bCs/>
          <w:szCs w:val="24"/>
        </w:rPr>
        <w:t>in</w:t>
      </w:r>
      <w:r w:rsidR="00677124" w:rsidRPr="003A60AC">
        <w:rPr>
          <w:bCs/>
          <w:szCs w:val="24"/>
        </w:rPr>
        <w:t xml:space="preserve"> 2021, according to MSCI Real Assets.</w:t>
      </w:r>
    </w:p>
    <w:p w14:paraId="4415BB22" w14:textId="2AFA5618" w:rsidR="003463D1" w:rsidRDefault="0037635A" w:rsidP="00CD6814">
      <w:pPr>
        <w:spacing w:line="276" w:lineRule="auto"/>
        <w:rPr>
          <w:bCs/>
          <w:szCs w:val="24"/>
        </w:rPr>
      </w:pPr>
      <w:r w:rsidRPr="003A60AC">
        <w:rPr>
          <w:bCs/>
          <w:szCs w:val="24"/>
        </w:rPr>
        <w:lastRenderedPageBreak/>
        <w:t>Demand f</w:t>
      </w:r>
      <w:r w:rsidR="00717B6B" w:rsidRPr="003A60AC">
        <w:rPr>
          <w:bCs/>
          <w:szCs w:val="24"/>
        </w:rPr>
        <w:t>rom</w:t>
      </w:r>
      <w:r w:rsidRPr="003A60AC">
        <w:rPr>
          <w:bCs/>
          <w:szCs w:val="24"/>
        </w:rPr>
        <w:t xml:space="preserve"> </w:t>
      </w:r>
      <w:r w:rsidR="00CF4D58">
        <w:rPr>
          <w:bCs/>
          <w:szCs w:val="24"/>
        </w:rPr>
        <w:t>CRE</w:t>
      </w:r>
      <w:r w:rsidRPr="003A60AC">
        <w:rPr>
          <w:bCs/>
          <w:szCs w:val="24"/>
        </w:rPr>
        <w:t xml:space="preserve"> borrowers</w:t>
      </w:r>
      <w:r w:rsidR="006953B8">
        <w:rPr>
          <w:bCs/>
          <w:szCs w:val="24"/>
        </w:rPr>
        <w:t xml:space="preserve"> </w:t>
      </w:r>
      <w:r w:rsidRPr="003A60AC">
        <w:rPr>
          <w:bCs/>
          <w:szCs w:val="24"/>
        </w:rPr>
        <w:t xml:space="preserve">helped drive double-digit growth </w:t>
      </w:r>
      <w:r w:rsidR="00717B6B" w:rsidRPr="003A60AC">
        <w:rPr>
          <w:bCs/>
          <w:szCs w:val="24"/>
        </w:rPr>
        <w:t xml:space="preserve">in lending volume </w:t>
      </w:r>
      <w:r w:rsidRPr="003A60AC">
        <w:rPr>
          <w:bCs/>
          <w:szCs w:val="24"/>
        </w:rPr>
        <w:t xml:space="preserve">for New York-based Alma Bank in the first six months of the year. “Overall, lending activity in the first half was up significantly over the prior year due primarily to the increase in refinance and purchase activity in anticipation of rising interest rates,” says </w:t>
      </w:r>
      <w:r w:rsidR="00EE5360" w:rsidRPr="003A60AC">
        <w:rPr>
          <w:bCs/>
          <w:szCs w:val="24"/>
        </w:rPr>
        <w:t xml:space="preserve">Michael </w:t>
      </w:r>
      <w:proofErr w:type="spellStart"/>
      <w:r w:rsidR="00EE5360" w:rsidRPr="003A60AC">
        <w:rPr>
          <w:bCs/>
          <w:szCs w:val="24"/>
        </w:rPr>
        <w:t>Psyllos</w:t>
      </w:r>
      <w:proofErr w:type="spellEnd"/>
      <w:r w:rsidR="00EE5360" w:rsidRPr="003A60AC">
        <w:rPr>
          <w:bCs/>
          <w:szCs w:val="24"/>
        </w:rPr>
        <w:t>, president and CEO</w:t>
      </w:r>
      <w:r w:rsidRPr="003A60AC">
        <w:rPr>
          <w:bCs/>
          <w:szCs w:val="24"/>
        </w:rPr>
        <w:t xml:space="preserve">. </w:t>
      </w:r>
    </w:p>
    <w:p w14:paraId="206C5CC4" w14:textId="501ECF94" w:rsidR="008413F3" w:rsidRPr="003A60AC" w:rsidRDefault="00717B6B" w:rsidP="00CD6814">
      <w:pPr>
        <w:spacing w:line="276" w:lineRule="auto"/>
        <w:rPr>
          <w:bCs/>
          <w:szCs w:val="24"/>
        </w:rPr>
      </w:pPr>
      <w:r w:rsidRPr="003A60AC">
        <w:rPr>
          <w:bCs/>
          <w:szCs w:val="24"/>
        </w:rPr>
        <w:t xml:space="preserve">The $1.3 billion </w:t>
      </w:r>
      <w:r w:rsidR="002E0B4F">
        <w:rPr>
          <w:bCs/>
          <w:szCs w:val="24"/>
        </w:rPr>
        <w:t xml:space="preserve">community </w:t>
      </w:r>
      <w:r w:rsidRPr="003A60AC">
        <w:rPr>
          <w:bCs/>
          <w:szCs w:val="24"/>
        </w:rPr>
        <w:t>bank</w:t>
      </w:r>
      <w:r w:rsidR="003463D1">
        <w:rPr>
          <w:bCs/>
          <w:szCs w:val="24"/>
        </w:rPr>
        <w:t xml:space="preserve">, which </w:t>
      </w:r>
      <w:r w:rsidR="003463D1" w:rsidRPr="003A60AC">
        <w:rPr>
          <w:bCs/>
          <w:szCs w:val="24"/>
        </w:rPr>
        <w:t>serves the New York City metro</w:t>
      </w:r>
      <w:r w:rsidR="003463D1">
        <w:rPr>
          <w:bCs/>
          <w:szCs w:val="24"/>
        </w:rPr>
        <w:t>,</w:t>
      </w:r>
      <w:r w:rsidR="0037635A" w:rsidRPr="003A60AC">
        <w:rPr>
          <w:bCs/>
          <w:szCs w:val="24"/>
        </w:rPr>
        <w:t xml:space="preserve"> specializes in providing financing to </w:t>
      </w:r>
      <w:r w:rsidR="006953B8">
        <w:rPr>
          <w:bCs/>
          <w:szCs w:val="24"/>
        </w:rPr>
        <w:t>CRE</w:t>
      </w:r>
      <w:r w:rsidR="00CF4D58">
        <w:rPr>
          <w:bCs/>
          <w:szCs w:val="24"/>
        </w:rPr>
        <w:t xml:space="preserve"> </w:t>
      </w:r>
      <w:r w:rsidR="0037635A" w:rsidRPr="003A60AC">
        <w:rPr>
          <w:bCs/>
          <w:szCs w:val="24"/>
        </w:rPr>
        <w:t xml:space="preserve">owners, developers and investors, as well as providing </w:t>
      </w:r>
      <w:r w:rsidR="002E0B4F" w:rsidRPr="002E0B4F">
        <w:rPr>
          <w:bCs/>
          <w:szCs w:val="24"/>
        </w:rPr>
        <w:t xml:space="preserve">commercial and industrial </w:t>
      </w:r>
      <w:r w:rsidR="002E0B4F">
        <w:rPr>
          <w:bCs/>
          <w:szCs w:val="24"/>
        </w:rPr>
        <w:t>(</w:t>
      </w:r>
      <w:r w:rsidR="0037635A" w:rsidRPr="003A60AC">
        <w:rPr>
          <w:bCs/>
          <w:szCs w:val="24"/>
        </w:rPr>
        <w:t>C</w:t>
      </w:r>
      <w:r w:rsidR="002E0B4F">
        <w:rPr>
          <w:bCs/>
          <w:szCs w:val="24"/>
        </w:rPr>
        <w:t>&amp;</w:t>
      </w:r>
      <w:r w:rsidR="0037635A" w:rsidRPr="003A60AC">
        <w:rPr>
          <w:bCs/>
          <w:szCs w:val="24"/>
        </w:rPr>
        <w:t>I</w:t>
      </w:r>
      <w:r w:rsidR="002E0B4F">
        <w:rPr>
          <w:bCs/>
          <w:szCs w:val="24"/>
        </w:rPr>
        <w:t>)</w:t>
      </w:r>
      <w:r w:rsidR="0037635A" w:rsidRPr="003A60AC">
        <w:rPr>
          <w:bCs/>
          <w:szCs w:val="24"/>
        </w:rPr>
        <w:t xml:space="preserve"> loans to operating companies. </w:t>
      </w:r>
    </w:p>
    <w:p w14:paraId="0EF93035" w14:textId="3273DD0D" w:rsidR="0037635A" w:rsidRPr="003A60AC" w:rsidRDefault="0037635A" w:rsidP="00CD6814">
      <w:pPr>
        <w:spacing w:line="276" w:lineRule="auto"/>
        <w:rPr>
          <w:bCs/>
          <w:szCs w:val="24"/>
        </w:rPr>
      </w:pPr>
      <w:r w:rsidRPr="003A60AC">
        <w:rPr>
          <w:bCs/>
          <w:szCs w:val="24"/>
        </w:rPr>
        <w:t xml:space="preserve">Although it is difficult to predict how the </w:t>
      </w:r>
      <w:r w:rsidR="006953B8">
        <w:rPr>
          <w:bCs/>
          <w:szCs w:val="24"/>
        </w:rPr>
        <w:t>CRE</w:t>
      </w:r>
      <w:r w:rsidR="00717B6B" w:rsidRPr="003A60AC">
        <w:rPr>
          <w:bCs/>
          <w:szCs w:val="24"/>
        </w:rPr>
        <w:t xml:space="preserve"> </w:t>
      </w:r>
      <w:r w:rsidRPr="003A60AC">
        <w:rPr>
          <w:bCs/>
          <w:szCs w:val="24"/>
        </w:rPr>
        <w:t xml:space="preserve">market will react to </w:t>
      </w:r>
      <w:r w:rsidR="006953B8">
        <w:rPr>
          <w:bCs/>
          <w:szCs w:val="24"/>
        </w:rPr>
        <w:t xml:space="preserve">the </w:t>
      </w:r>
      <w:r w:rsidRPr="003A60AC">
        <w:rPr>
          <w:bCs/>
          <w:szCs w:val="24"/>
        </w:rPr>
        <w:t xml:space="preserve">higher interest rates </w:t>
      </w:r>
      <w:r w:rsidR="006953B8">
        <w:rPr>
          <w:bCs/>
          <w:szCs w:val="24"/>
        </w:rPr>
        <w:t>of</w:t>
      </w:r>
      <w:r w:rsidR="006953B8" w:rsidRPr="003A60AC">
        <w:rPr>
          <w:bCs/>
          <w:szCs w:val="24"/>
        </w:rPr>
        <w:t xml:space="preserve"> </w:t>
      </w:r>
      <w:r w:rsidRPr="003A60AC">
        <w:rPr>
          <w:bCs/>
          <w:szCs w:val="24"/>
        </w:rPr>
        <w:t xml:space="preserve">the second half of the year, activity slowed in August and September, notes </w:t>
      </w:r>
      <w:proofErr w:type="spellStart"/>
      <w:r w:rsidRPr="003A60AC">
        <w:rPr>
          <w:bCs/>
          <w:szCs w:val="24"/>
        </w:rPr>
        <w:t>Psyllos</w:t>
      </w:r>
      <w:proofErr w:type="spellEnd"/>
      <w:r w:rsidRPr="003A60AC">
        <w:rPr>
          <w:bCs/>
          <w:szCs w:val="24"/>
        </w:rPr>
        <w:t>.</w:t>
      </w:r>
      <w:r w:rsidR="008413F3" w:rsidRPr="003A60AC">
        <w:rPr>
          <w:bCs/>
          <w:szCs w:val="24"/>
        </w:rPr>
        <w:t xml:space="preserve"> </w:t>
      </w:r>
    </w:p>
    <w:p w14:paraId="2FD26ACA" w14:textId="1ADE0C73" w:rsidR="008413F3" w:rsidRPr="003A60AC" w:rsidRDefault="008413F3" w:rsidP="00CD6814">
      <w:pPr>
        <w:spacing w:line="276" w:lineRule="auto"/>
        <w:rPr>
          <w:bCs/>
          <w:szCs w:val="24"/>
        </w:rPr>
      </w:pPr>
      <w:r w:rsidRPr="003A60AC">
        <w:rPr>
          <w:bCs/>
          <w:szCs w:val="24"/>
        </w:rPr>
        <w:t xml:space="preserve">FDIC data also </w:t>
      </w:r>
      <w:r w:rsidR="006953B8" w:rsidRPr="003A60AC">
        <w:rPr>
          <w:bCs/>
          <w:szCs w:val="24"/>
        </w:rPr>
        <w:t>point</w:t>
      </w:r>
      <w:r w:rsidR="006953B8">
        <w:rPr>
          <w:bCs/>
          <w:szCs w:val="24"/>
        </w:rPr>
        <w:t>ed</w:t>
      </w:r>
      <w:r w:rsidR="006953B8" w:rsidRPr="003A60AC">
        <w:rPr>
          <w:bCs/>
          <w:szCs w:val="24"/>
        </w:rPr>
        <w:t xml:space="preserve"> </w:t>
      </w:r>
      <w:r w:rsidRPr="003A60AC">
        <w:rPr>
          <w:bCs/>
          <w:szCs w:val="24"/>
        </w:rPr>
        <w:t xml:space="preserve">to a strong start to </w:t>
      </w:r>
      <w:r w:rsidR="006953B8">
        <w:rPr>
          <w:bCs/>
          <w:szCs w:val="24"/>
        </w:rPr>
        <w:t>2022</w:t>
      </w:r>
      <w:r w:rsidR="003463D1">
        <w:rPr>
          <w:bCs/>
          <w:szCs w:val="24"/>
        </w:rPr>
        <w:t>,</w:t>
      </w:r>
      <w:r w:rsidRPr="003A60AC">
        <w:rPr>
          <w:bCs/>
          <w:szCs w:val="24"/>
        </w:rPr>
        <w:t xml:space="preserve"> with total loan and lease balances at $109.9 billion in </w:t>
      </w:r>
      <w:r w:rsidR="006953B8">
        <w:rPr>
          <w:bCs/>
          <w:szCs w:val="24"/>
        </w:rPr>
        <w:t xml:space="preserve">the </w:t>
      </w:r>
      <w:r w:rsidRPr="003A60AC">
        <w:rPr>
          <w:bCs/>
          <w:szCs w:val="24"/>
        </w:rPr>
        <w:t>first quarter</w:t>
      </w:r>
      <w:r w:rsidR="003463D1">
        <w:rPr>
          <w:bCs/>
          <w:szCs w:val="24"/>
        </w:rPr>
        <w:t>,</w:t>
      </w:r>
      <w:r w:rsidRPr="003A60AC">
        <w:rPr>
          <w:bCs/>
          <w:szCs w:val="24"/>
        </w:rPr>
        <w:t xml:space="preserve"> up 1</w:t>
      </w:r>
      <w:r w:rsidR="002E0B4F">
        <w:rPr>
          <w:bCs/>
          <w:szCs w:val="24"/>
        </w:rPr>
        <w:t>%</w:t>
      </w:r>
      <w:r w:rsidRPr="003A60AC">
        <w:rPr>
          <w:bCs/>
          <w:szCs w:val="24"/>
        </w:rPr>
        <w:t xml:space="preserve"> over fourth quarter 2021. Excluding PPP loan forgiveness, the annual total loan growth for the trailing 12 months at the close of first quarter</w:t>
      </w:r>
      <w:r w:rsidR="003463D1">
        <w:rPr>
          <w:bCs/>
          <w:szCs w:val="24"/>
        </w:rPr>
        <w:t xml:space="preserve"> 2022</w:t>
      </w:r>
      <w:r w:rsidRPr="003A60AC">
        <w:rPr>
          <w:bCs/>
          <w:szCs w:val="24"/>
        </w:rPr>
        <w:t xml:space="preserve"> would have been 9.2</w:t>
      </w:r>
      <w:r w:rsidR="002E0B4F">
        <w:rPr>
          <w:bCs/>
          <w:szCs w:val="24"/>
        </w:rPr>
        <w:t>%</w:t>
      </w:r>
      <w:r w:rsidR="003463D1">
        <w:rPr>
          <w:bCs/>
          <w:szCs w:val="24"/>
        </w:rPr>
        <w:t>,</w:t>
      </w:r>
      <w:r w:rsidRPr="003A60AC">
        <w:rPr>
          <w:bCs/>
          <w:szCs w:val="24"/>
        </w:rPr>
        <w:t xml:space="preserve"> and C&amp;I loan growth would have been 18</w:t>
      </w:r>
      <w:r w:rsidR="002E0B4F">
        <w:rPr>
          <w:bCs/>
          <w:szCs w:val="24"/>
        </w:rPr>
        <w:t>%</w:t>
      </w:r>
      <w:r w:rsidRPr="003A60AC">
        <w:rPr>
          <w:bCs/>
          <w:szCs w:val="24"/>
        </w:rPr>
        <w:t>.</w:t>
      </w:r>
    </w:p>
    <w:p w14:paraId="6575CE88" w14:textId="6125705A" w:rsidR="00051090" w:rsidRPr="003A60AC" w:rsidRDefault="00051090" w:rsidP="00CD6814">
      <w:pPr>
        <w:spacing w:line="276" w:lineRule="auto"/>
        <w:rPr>
          <w:bCs/>
          <w:szCs w:val="24"/>
        </w:rPr>
      </w:pPr>
      <w:r w:rsidRPr="003A60AC">
        <w:rPr>
          <w:bCs/>
          <w:szCs w:val="24"/>
        </w:rPr>
        <w:t>First Business Bank</w:t>
      </w:r>
      <w:r w:rsidR="003463D1">
        <w:rPr>
          <w:bCs/>
          <w:szCs w:val="24"/>
        </w:rPr>
        <w:t xml:space="preserve"> in Madison, Wis.,</w:t>
      </w:r>
      <w:r w:rsidRPr="003A60AC">
        <w:rPr>
          <w:bCs/>
          <w:szCs w:val="24"/>
        </w:rPr>
        <w:t xml:space="preserve"> anticipates hitting 10% in organic annual loan growth in 2022. Growth is driven in part by healthy C&amp;I business, which grew at about 11.5% during the first half of the year. Some of the strongest areas have been asset-based lending and equipment finance. The usage of credit lines </w:t>
      </w:r>
      <w:r w:rsidR="003463D1">
        <w:rPr>
          <w:bCs/>
          <w:szCs w:val="24"/>
        </w:rPr>
        <w:t>is also</w:t>
      </w:r>
      <w:r w:rsidRPr="003A60AC">
        <w:rPr>
          <w:bCs/>
          <w:szCs w:val="24"/>
        </w:rPr>
        <w:t xml:space="preserve"> a little bit higher than it was a year ago when everyone had PPP funds, notes </w:t>
      </w:r>
      <w:hyperlink r:id="rId9" w:history="1">
        <w:r w:rsidR="00EE5360" w:rsidRPr="003A60AC">
          <w:rPr>
            <w:bCs/>
            <w:szCs w:val="24"/>
          </w:rPr>
          <w:t>Dave Seiler</w:t>
        </w:r>
      </w:hyperlink>
      <w:r w:rsidR="00EE5360" w:rsidRPr="003A60AC">
        <w:rPr>
          <w:bCs/>
          <w:szCs w:val="24"/>
        </w:rPr>
        <w:t>, COO of First Business Financial Services Inc., parent company of the $2.8 billion</w:t>
      </w:r>
      <w:r w:rsidR="002E0B4F">
        <w:rPr>
          <w:bCs/>
          <w:szCs w:val="24"/>
        </w:rPr>
        <w:t>-asset</w:t>
      </w:r>
      <w:r w:rsidR="00EE5360" w:rsidRPr="003A60AC">
        <w:rPr>
          <w:bCs/>
          <w:szCs w:val="24"/>
        </w:rPr>
        <w:t xml:space="preserve"> </w:t>
      </w:r>
      <w:r w:rsidR="003463D1">
        <w:rPr>
          <w:bCs/>
          <w:szCs w:val="24"/>
        </w:rPr>
        <w:t>community bank</w:t>
      </w:r>
      <w:r w:rsidRPr="003A60AC">
        <w:rPr>
          <w:bCs/>
          <w:szCs w:val="24"/>
        </w:rPr>
        <w:t xml:space="preserve">. </w:t>
      </w:r>
    </w:p>
    <w:p w14:paraId="5D012F69" w14:textId="166AC017" w:rsidR="00330C24" w:rsidRPr="003A60AC" w:rsidRDefault="00330C24" w:rsidP="00CD6814">
      <w:pPr>
        <w:spacing w:line="276" w:lineRule="auto"/>
        <w:rPr>
          <w:bCs/>
          <w:szCs w:val="24"/>
        </w:rPr>
      </w:pPr>
    </w:p>
    <w:p w14:paraId="1844D1DD" w14:textId="74541BE3" w:rsidR="00B9150C" w:rsidRPr="003A60AC" w:rsidRDefault="004C7631" w:rsidP="00CD6814">
      <w:pPr>
        <w:spacing w:line="276" w:lineRule="auto"/>
        <w:rPr>
          <w:bCs/>
          <w:szCs w:val="24"/>
        </w:rPr>
      </w:pPr>
      <w:r>
        <w:rPr>
          <w:bCs/>
          <w:szCs w:val="24"/>
        </w:rPr>
        <w:t>[</w:t>
      </w:r>
      <w:proofErr w:type="spellStart"/>
      <w:r>
        <w:rPr>
          <w:bCs/>
          <w:szCs w:val="24"/>
        </w:rPr>
        <w:t>subhed</w:t>
      </w:r>
      <w:proofErr w:type="spellEnd"/>
      <w:r>
        <w:rPr>
          <w:bCs/>
          <w:szCs w:val="24"/>
        </w:rPr>
        <w:t xml:space="preserve">] </w:t>
      </w:r>
      <w:r w:rsidR="008413F3" w:rsidRPr="00426910">
        <w:rPr>
          <w:b/>
          <w:szCs w:val="24"/>
        </w:rPr>
        <w:t xml:space="preserve">Potential </w:t>
      </w:r>
      <w:r w:rsidR="00CE616F">
        <w:rPr>
          <w:b/>
          <w:szCs w:val="24"/>
        </w:rPr>
        <w:t xml:space="preserve">lending </w:t>
      </w:r>
      <w:r w:rsidR="008413F3" w:rsidRPr="00426910">
        <w:rPr>
          <w:b/>
          <w:szCs w:val="24"/>
        </w:rPr>
        <w:t>hurdles ahead</w:t>
      </w:r>
    </w:p>
    <w:p w14:paraId="5414548A" w14:textId="7A1A5431" w:rsidR="00025634" w:rsidRPr="003A60AC" w:rsidRDefault="00873BC0" w:rsidP="00CD6814">
      <w:pPr>
        <w:spacing w:line="276" w:lineRule="auto"/>
        <w:rPr>
          <w:bCs/>
          <w:szCs w:val="24"/>
        </w:rPr>
      </w:pPr>
      <w:r w:rsidRPr="003A60AC">
        <w:rPr>
          <w:bCs/>
          <w:szCs w:val="24"/>
        </w:rPr>
        <w:t xml:space="preserve">Lenders are keeping a close eye on market challenges that could slow lending activity in the </w:t>
      </w:r>
      <w:r w:rsidR="003B335C" w:rsidRPr="003A60AC">
        <w:rPr>
          <w:bCs/>
          <w:szCs w:val="24"/>
        </w:rPr>
        <w:t xml:space="preserve">latter half of 2022 and into 2023. Higher rates are already starting to </w:t>
      </w:r>
      <w:r w:rsidR="00CE616F">
        <w:rPr>
          <w:bCs/>
          <w:szCs w:val="24"/>
        </w:rPr>
        <w:t>affect</w:t>
      </w:r>
      <w:r w:rsidR="00CE616F" w:rsidRPr="003A60AC">
        <w:rPr>
          <w:bCs/>
          <w:szCs w:val="24"/>
        </w:rPr>
        <w:t xml:space="preserve"> </w:t>
      </w:r>
      <w:r w:rsidR="003B335C" w:rsidRPr="003A60AC">
        <w:rPr>
          <w:bCs/>
          <w:szCs w:val="24"/>
        </w:rPr>
        <w:t xml:space="preserve">the </w:t>
      </w:r>
      <w:r w:rsidR="00CF4D58">
        <w:rPr>
          <w:bCs/>
          <w:szCs w:val="24"/>
        </w:rPr>
        <w:t>CRE</w:t>
      </w:r>
      <w:r w:rsidR="003B335C" w:rsidRPr="003A60AC">
        <w:rPr>
          <w:bCs/>
          <w:szCs w:val="24"/>
        </w:rPr>
        <w:t xml:space="preserve"> market. “We’re still seeing growth in the CRE area, but it’s been a little bit slower,” says Seiler. </w:t>
      </w:r>
      <w:r w:rsidR="00025634" w:rsidRPr="003A60AC">
        <w:rPr>
          <w:bCs/>
          <w:szCs w:val="24"/>
        </w:rPr>
        <w:t xml:space="preserve">Other potential risks ahead include continued supply chain disruption and inflation. </w:t>
      </w:r>
    </w:p>
    <w:p w14:paraId="2BA5D97C" w14:textId="4112352E" w:rsidR="003B335C" w:rsidRPr="003A60AC" w:rsidRDefault="00025634" w:rsidP="00CD6814">
      <w:pPr>
        <w:spacing w:line="276" w:lineRule="auto"/>
        <w:rPr>
          <w:bCs/>
          <w:szCs w:val="24"/>
        </w:rPr>
      </w:pPr>
      <w:r w:rsidRPr="003A60AC">
        <w:rPr>
          <w:bCs/>
          <w:szCs w:val="24"/>
        </w:rPr>
        <w:t xml:space="preserve">The reality is that there is a lot of uncertainty in the market, </w:t>
      </w:r>
      <w:r w:rsidR="00EB4D8D" w:rsidRPr="003A60AC">
        <w:rPr>
          <w:bCs/>
          <w:szCs w:val="24"/>
        </w:rPr>
        <w:t xml:space="preserve">including concerns of a potential recession ahead, </w:t>
      </w:r>
      <w:r w:rsidRPr="003A60AC">
        <w:rPr>
          <w:bCs/>
          <w:szCs w:val="24"/>
        </w:rPr>
        <w:t xml:space="preserve">which </w:t>
      </w:r>
      <w:r w:rsidR="00EB4D8D" w:rsidRPr="003A60AC">
        <w:rPr>
          <w:bCs/>
          <w:szCs w:val="24"/>
        </w:rPr>
        <w:t>will likely</w:t>
      </w:r>
      <w:r w:rsidRPr="003A60AC">
        <w:rPr>
          <w:bCs/>
          <w:szCs w:val="24"/>
        </w:rPr>
        <w:t xml:space="preserve"> weigh on activity and borrower demand. “All of that will ripple into both C&amp;I and CRE lending,” </w:t>
      </w:r>
      <w:r w:rsidR="00FA322F">
        <w:rPr>
          <w:bCs/>
          <w:szCs w:val="24"/>
        </w:rPr>
        <w:t>say</w:t>
      </w:r>
      <w:r w:rsidRPr="003A60AC">
        <w:rPr>
          <w:bCs/>
          <w:szCs w:val="24"/>
        </w:rPr>
        <w:t xml:space="preserve">s </w:t>
      </w:r>
      <w:proofErr w:type="spellStart"/>
      <w:r w:rsidRPr="003A60AC">
        <w:rPr>
          <w:bCs/>
          <w:szCs w:val="24"/>
        </w:rPr>
        <w:t>Psyllos</w:t>
      </w:r>
      <w:proofErr w:type="spellEnd"/>
      <w:r w:rsidRPr="003A60AC">
        <w:rPr>
          <w:bCs/>
          <w:szCs w:val="24"/>
        </w:rPr>
        <w:t xml:space="preserve">. </w:t>
      </w:r>
      <w:r w:rsidR="006953B8">
        <w:rPr>
          <w:bCs/>
          <w:szCs w:val="24"/>
        </w:rPr>
        <w:t>However</w:t>
      </w:r>
      <w:r w:rsidR="006B1C6D" w:rsidRPr="003A60AC">
        <w:rPr>
          <w:bCs/>
          <w:szCs w:val="24"/>
        </w:rPr>
        <w:t xml:space="preserve">, market disruption </w:t>
      </w:r>
      <w:r w:rsidR="006953B8">
        <w:rPr>
          <w:bCs/>
          <w:szCs w:val="24"/>
        </w:rPr>
        <w:t>could also</w:t>
      </w:r>
      <w:r w:rsidR="006B1C6D" w:rsidRPr="003A60AC">
        <w:rPr>
          <w:bCs/>
          <w:szCs w:val="24"/>
        </w:rPr>
        <w:t xml:space="preserve"> create</w:t>
      </w:r>
      <w:r w:rsidR="003B335C" w:rsidRPr="003A60AC">
        <w:rPr>
          <w:bCs/>
          <w:szCs w:val="24"/>
        </w:rPr>
        <w:t xml:space="preserve"> opportunit</w:t>
      </w:r>
      <w:r w:rsidR="006B1C6D" w:rsidRPr="003A60AC">
        <w:rPr>
          <w:bCs/>
          <w:szCs w:val="24"/>
        </w:rPr>
        <w:t>ies</w:t>
      </w:r>
      <w:r w:rsidR="003B335C" w:rsidRPr="003A60AC">
        <w:rPr>
          <w:bCs/>
          <w:szCs w:val="24"/>
        </w:rPr>
        <w:t xml:space="preserve"> to acquire assets at more attractive levels than where they have historically been trading</w:t>
      </w:r>
      <w:r w:rsidR="006B1C6D" w:rsidRPr="003A60AC">
        <w:rPr>
          <w:bCs/>
          <w:szCs w:val="24"/>
        </w:rPr>
        <w:t>, he adds</w:t>
      </w:r>
      <w:r w:rsidR="003B335C" w:rsidRPr="003A60AC">
        <w:rPr>
          <w:bCs/>
          <w:szCs w:val="24"/>
        </w:rPr>
        <w:t xml:space="preserve">. </w:t>
      </w:r>
    </w:p>
    <w:p w14:paraId="11FC3E18" w14:textId="77777777" w:rsidR="00B9150C" w:rsidRPr="003A60AC" w:rsidRDefault="00B9150C" w:rsidP="00CD6814">
      <w:pPr>
        <w:spacing w:line="276" w:lineRule="auto"/>
        <w:rPr>
          <w:bCs/>
          <w:szCs w:val="24"/>
        </w:rPr>
      </w:pPr>
    </w:p>
    <w:p w14:paraId="27AADF76" w14:textId="73EE1ED6" w:rsidR="00B9150C" w:rsidRPr="003A60AC" w:rsidRDefault="004C7631" w:rsidP="00CD6814">
      <w:pPr>
        <w:spacing w:line="276" w:lineRule="auto"/>
        <w:rPr>
          <w:bCs/>
          <w:szCs w:val="24"/>
        </w:rPr>
      </w:pPr>
      <w:r>
        <w:rPr>
          <w:bCs/>
          <w:szCs w:val="24"/>
        </w:rPr>
        <w:t>[</w:t>
      </w:r>
      <w:proofErr w:type="spellStart"/>
      <w:r>
        <w:rPr>
          <w:bCs/>
          <w:szCs w:val="24"/>
        </w:rPr>
        <w:t>subhed</w:t>
      </w:r>
      <w:proofErr w:type="spellEnd"/>
      <w:r>
        <w:rPr>
          <w:bCs/>
          <w:szCs w:val="24"/>
        </w:rPr>
        <w:t xml:space="preserve">] </w:t>
      </w:r>
      <w:r w:rsidR="00873BC0" w:rsidRPr="00426910">
        <w:rPr>
          <w:b/>
          <w:szCs w:val="24"/>
        </w:rPr>
        <w:t>Identifying</w:t>
      </w:r>
      <w:r w:rsidR="00B9150C" w:rsidRPr="00426910">
        <w:rPr>
          <w:b/>
          <w:szCs w:val="24"/>
        </w:rPr>
        <w:t xml:space="preserve"> growth opportunities</w:t>
      </w:r>
    </w:p>
    <w:p w14:paraId="36A65939" w14:textId="31F53A9A" w:rsidR="009C100B" w:rsidRPr="003A60AC" w:rsidRDefault="00B9150C" w:rsidP="00CD6814">
      <w:pPr>
        <w:spacing w:line="276" w:lineRule="auto"/>
        <w:rPr>
          <w:bCs/>
          <w:szCs w:val="24"/>
        </w:rPr>
      </w:pPr>
      <w:r w:rsidRPr="003A60AC">
        <w:rPr>
          <w:bCs/>
          <w:szCs w:val="24"/>
        </w:rPr>
        <w:t xml:space="preserve">In </w:t>
      </w:r>
      <w:r w:rsidR="009C100B" w:rsidRPr="003A60AC">
        <w:rPr>
          <w:bCs/>
          <w:szCs w:val="24"/>
        </w:rPr>
        <w:t xml:space="preserve">what could be a more challenging </w:t>
      </w:r>
      <w:r w:rsidR="00EB4D8D" w:rsidRPr="003A60AC">
        <w:rPr>
          <w:bCs/>
          <w:szCs w:val="24"/>
        </w:rPr>
        <w:t>economic environment</w:t>
      </w:r>
      <w:r w:rsidR="009C100B" w:rsidRPr="003A60AC">
        <w:rPr>
          <w:bCs/>
          <w:szCs w:val="24"/>
        </w:rPr>
        <w:t>, community banks are looking at ways to maintain and grow lending business</w:t>
      </w:r>
      <w:r w:rsidR="006953B8">
        <w:rPr>
          <w:bCs/>
          <w:szCs w:val="24"/>
        </w:rPr>
        <w:t>. Some</w:t>
      </w:r>
      <w:r w:rsidR="00EB4D8D" w:rsidRPr="003A60AC">
        <w:rPr>
          <w:bCs/>
          <w:szCs w:val="24"/>
        </w:rPr>
        <w:t xml:space="preserve"> bank and nonbank CRE</w:t>
      </w:r>
      <w:r w:rsidR="006B1C6D" w:rsidRPr="003A60AC">
        <w:rPr>
          <w:bCs/>
          <w:szCs w:val="24"/>
        </w:rPr>
        <w:t xml:space="preserve"> lenders </w:t>
      </w:r>
      <w:r w:rsidR="00873BC0" w:rsidRPr="003A60AC">
        <w:rPr>
          <w:bCs/>
          <w:szCs w:val="24"/>
        </w:rPr>
        <w:t>have moved to the sidelines, which is creating more runway for community banks to compete for deals.</w:t>
      </w:r>
      <w:r w:rsidR="00EC22DC" w:rsidRPr="003A60AC">
        <w:rPr>
          <w:bCs/>
          <w:szCs w:val="24"/>
        </w:rPr>
        <w:t xml:space="preserve"> </w:t>
      </w:r>
      <w:r w:rsidR="00EB4D8D" w:rsidRPr="003A60AC">
        <w:rPr>
          <w:bCs/>
          <w:szCs w:val="24"/>
        </w:rPr>
        <w:t>Some</w:t>
      </w:r>
      <w:r w:rsidR="006B1C6D" w:rsidRPr="003A60AC">
        <w:rPr>
          <w:bCs/>
          <w:szCs w:val="24"/>
        </w:rPr>
        <w:t xml:space="preserve"> banks</w:t>
      </w:r>
      <w:r w:rsidR="009C100B" w:rsidRPr="003A60AC">
        <w:rPr>
          <w:bCs/>
          <w:szCs w:val="24"/>
        </w:rPr>
        <w:t xml:space="preserve"> </w:t>
      </w:r>
      <w:r w:rsidR="00EB4D8D" w:rsidRPr="003A60AC">
        <w:rPr>
          <w:bCs/>
          <w:szCs w:val="24"/>
        </w:rPr>
        <w:t xml:space="preserve">also </w:t>
      </w:r>
      <w:r w:rsidR="009C100B" w:rsidRPr="003A60AC">
        <w:rPr>
          <w:bCs/>
          <w:szCs w:val="24"/>
        </w:rPr>
        <w:t xml:space="preserve">see an opportunity to capture new </w:t>
      </w:r>
      <w:r w:rsidR="006B1C6D" w:rsidRPr="003A60AC">
        <w:rPr>
          <w:bCs/>
          <w:szCs w:val="24"/>
        </w:rPr>
        <w:t xml:space="preserve">commercial and consumer </w:t>
      </w:r>
      <w:r w:rsidR="009C100B" w:rsidRPr="003A60AC">
        <w:rPr>
          <w:bCs/>
          <w:szCs w:val="24"/>
        </w:rPr>
        <w:t>customers following an activ</w:t>
      </w:r>
      <w:r w:rsidR="00EB4D8D" w:rsidRPr="003A60AC">
        <w:rPr>
          <w:bCs/>
          <w:szCs w:val="24"/>
        </w:rPr>
        <w:t>e</w:t>
      </w:r>
      <w:r w:rsidR="009C100B" w:rsidRPr="003A60AC">
        <w:rPr>
          <w:bCs/>
          <w:szCs w:val="24"/>
        </w:rPr>
        <w:t xml:space="preserve"> year of bank M&amp;A </w:t>
      </w:r>
      <w:r w:rsidR="00EB4D8D" w:rsidRPr="003A60AC">
        <w:rPr>
          <w:bCs/>
          <w:szCs w:val="24"/>
        </w:rPr>
        <w:t>deals and consolidation</w:t>
      </w:r>
      <w:r w:rsidR="009C100B" w:rsidRPr="003A60AC">
        <w:rPr>
          <w:bCs/>
          <w:szCs w:val="24"/>
        </w:rPr>
        <w:t xml:space="preserve">. </w:t>
      </w:r>
    </w:p>
    <w:p w14:paraId="37C66854" w14:textId="71C2C14B" w:rsidR="00B9150C" w:rsidRPr="003A60AC" w:rsidRDefault="009C100B" w:rsidP="00CD6814">
      <w:pPr>
        <w:spacing w:line="276" w:lineRule="auto"/>
        <w:rPr>
          <w:bCs/>
          <w:szCs w:val="24"/>
        </w:rPr>
      </w:pPr>
      <w:r w:rsidRPr="003A60AC">
        <w:rPr>
          <w:bCs/>
          <w:szCs w:val="24"/>
        </w:rPr>
        <w:lastRenderedPageBreak/>
        <w:t xml:space="preserve">Alma Bank </w:t>
      </w:r>
      <w:r w:rsidR="00F16277" w:rsidRPr="003A60AC">
        <w:rPr>
          <w:bCs/>
          <w:szCs w:val="24"/>
        </w:rPr>
        <w:t>is working to</w:t>
      </w:r>
      <w:r w:rsidRPr="003A60AC">
        <w:rPr>
          <w:bCs/>
          <w:szCs w:val="24"/>
        </w:rPr>
        <w:t xml:space="preserve"> grow its SBA lending platform with 504 and 7</w:t>
      </w:r>
      <w:r w:rsidR="006953B8">
        <w:rPr>
          <w:bCs/>
          <w:szCs w:val="24"/>
        </w:rPr>
        <w:t>(</w:t>
      </w:r>
      <w:r w:rsidRPr="003A60AC">
        <w:rPr>
          <w:bCs/>
          <w:szCs w:val="24"/>
        </w:rPr>
        <w:t>a</w:t>
      </w:r>
      <w:r w:rsidR="006953B8">
        <w:rPr>
          <w:bCs/>
          <w:szCs w:val="24"/>
        </w:rPr>
        <w:t>)</w:t>
      </w:r>
      <w:r w:rsidRPr="003A60AC">
        <w:rPr>
          <w:bCs/>
          <w:szCs w:val="24"/>
        </w:rPr>
        <w:t xml:space="preserve"> loans for </w:t>
      </w:r>
      <w:r w:rsidR="00B9150C" w:rsidRPr="003A60AC">
        <w:rPr>
          <w:bCs/>
          <w:szCs w:val="24"/>
        </w:rPr>
        <w:t xml:space="preserve">clients </w:t>
      </w:r>
      <w:r w:rsidRPr="003A60AC">
        <w:rPr>
          <w:bCs/>
          <w:szCs w:val="24"/>
        </w:rPr>
        <w:t xml:space="preserve">that </w:t>
      </w:r>
      <w:r w:rsidR="00B9150C" w:rsidRPr="003A60AC">
        <w:rPr>
          <w:bCs/>
          <w:szCs w:val="24"/>
        </w:rPr>
        <w:t xml:space="preserve">might not have access to traditional bank financing. </w:t>
      </w:r>
      <w:r w:rsidRPr="003A60AC">
        <w:rPr>
          <w:bCs/>
          <w:szCs w:val="24"/>
        </w:rPr>
        <w:t>“</w:t>
      </w:r>
      <w:r w:rsidR="00B9150C" w:rsidRPr="003A60AC">
        <w:rPr>
          <w:bCs/>
          <w:szCs w:val="24"/>
        </w:rPr>
        <w:t>We came out of the pandemic with a better understanding of the SBA</w:t>
      </w:r>
      <w:r w:rsidR="006953B8">
        <w:rPr>
          <w:bCs/>
          <w:szCs w:val="24"/>
        </w:rPr>
        <w:t>,</w:t>
      </w:r>
      <w:r w:rsidR="00B9150C" w:rsidRPr="003A60AC">
        <w:rPr>
          <w:bCs/>
          <w:szCs w:val="24"/>
        </w:rPr>
        <w:t xml:space="preserve"> having done a significant amount of PPP lending</w:t>
      </w:r>
      <w:r w:rsidRPr="003A60AC">
        <w:rPr>
          <w:bCs/>
          <w:szCs w:val="24"/>
        </w:rPr>
        <w:t xml:space="preserve">,” says </w:t>
      </w:r>
      <w:proofErr w:type="spellStart"/>
      <w:r w:rsidRPr="003A60AC">
        <w:rPr>
          <w:bCs/>
          <w:szCs w:val="24"/>
        </w:rPr>
        <w:t>Psyllos</w:t>
      </w:r>
      <w:proofErr w:type="spellEnd"/>
      <w:r w:rsidRPr="003A60AC">
        <w:rPr>
          <w:bCs/>
          <w:szCs w:val="24"/>
        </w:rPr>
        <w:t>.</w:t>
      </w:r>
      <w:r w:rsidR="00B9150C" w:rsidRPr="003A60AC">
        <w:rPr>
          <w:bCs/>
          <w:szCs w:val="24"/>
        </w:rPr>
        <w:t xml:space="preserve"> </w:t>
      </w:r>
    </w:p>
    <w:p w14:paraId="1E7292F8" w14:textId="4AC15812" w:rsidR="002E0B4F" w:rsidRDefault="00330C24" w:rsidP="00CD6814">
      <w:pPr>
        <w:spacing w:line="276" w:lineRule="auto"/>
        <w:rPr>
          <w:bCs/>
          <w:szCs w:val="24"/>
        </w:rPr>
      </w:pPr>
      <w:r w:rsidRPr="003A60AC">
        <w:rPr>
          <w:bCs/>
          <w:szCs w:val="24"/>
        </w:rPr>
        <w:t xml:space="preserve">Even if there is a recession ahead, banks in general </w:t>
      </w:r>
      <w:r w:rsidR="00F16277" w:rsidRPr="003A60AC">
        <w:rPr>
          <w:bCs/>
          <w:szCs w:val="24"/>
        </w:rPr>
        <w:t>have</w:t>
      </w:r>
      <w:r w:rsidRPr="003A60AC">
        <w:rPr>
          <w:bCs/>
          <w:szCs w:val="24"/>
        </w:rPr>
        <w:t xml:space="preserve"> better liquidity and better balance sheet strength than </w:t>
      </w:r>
      <w:r w:rsidR="006953B8">
        <w:rPr>
          <w:bCs/>
          <w:szCs w:val="24"/>
        </w:rPr>
        <w:t>they did</w:t>
      </w:r>
      <w:r w:rsidRPr="003A60AC">
        <w:rPr>
          <w:bCs/>
          <w:szCs w:val="24"/>
        </w:rPr>
        <w:t xml:space="preserve"> </w:t>
      </w:r>
      <w:r w:rsidR="00F16277" w:rsidRPr="003A60AC">
        <w:rPr>
          <w:bCs/>
          <w:szCs w:val="24"/>
        </w:rPr>
        <w:t xml:space="preserve">going </w:t>
      </w:r>
      <w:r w:rsidR="0040146D" w:rsidRPr="003A60AC">
        <w:rPr>
          <w:bCs/>
          <w:szCs w:val="24"/>
        </w:rPr>
        <w:t>into</w:t>
      </w:r>
      <w:r w:rsidR="00F16277" w:rsidRPr="003A60AC">
        <w:rPr>
          <w:bCs/>
          <w:szCs w:val="24"/>
        </w:rPr>
        <w:t xml:space="preserve"> </w:t>
      </w:r>
      <w:r w:rsidRPr="003A60AC">
        <w:rPr>
          <w:bCs/>
          <w:szCs w:val="24"/>
        </w:rPr>
        <w:t xml:space="preserve">the </w:t>
      </w:r>
      <w:r w:rsidR="006953B8">
        <w:rPr>
          <w:bCs/>
          <w:szCs w:val="24"/>
        </w:rPr>
        <w:t>recession of 2008-09</w:t>
      </w:r>
      <w:r w:rsidRPr="003A60AC">
        <w:rPr>
          <w:bCs/>
          <w:szCs w:val="24"/>
        </w:rPr>
        <w:t xml:space="preserve">. “Credit quality has been good, and community banks are well positioned,” says </w:t>
      </w:r>
      <w:proofErr w:type="spellStart"/>
      <w:r w:rsidRPr="003A60AC">
        <w:rPr>
          <w:bCs/>
          <w:szCs w:val="24"/>
        </w:rPr>
        <w:t>Vicknair</w:t>
      </w:r>
      <w:proofErr w:type="spellEnd"/>
      <w:r w:rsidRPr="003A60AC">
        <w:rPr>
          <w:bCs/>
          <w:szCs w:val="24"/>
        </w:rPr>
        <w:t>.</w:t>
      </w:r>
      <w:r w:rsidR="002E0B4F">
        <w:rPr>
          <w:bCs/>
          <w:szCs w:val="24"/>
        </w:rPr>
        <w:t xml:space="preserve"> </w:t>
      </w:r>
      <w:r w:rsidRPr="003A60AC">
        <w:rPr>
          <w:bCs/>
          <w:szCs w:val="24"/>
        </w:rPr>
        <w:t>“In addition, I think new lending opportunities will surface that have not previously been considered</w:t>
      </w:r>
      <w:r w:rsidR="002E0B4F">
        <w:rPr>
          <w:bCs/>
          <w:szCs w:val="24"/>
        </w:rPr>
        <w:t>.”</w:t>
      </w:r>
    </w:p>
    <w:p w14:paraId="645FE80E" w14:textId="15BC9554" w:rsidR="00330C24" w:rsidRPr="003A60AC" w:rsidRDefault="00F16277" w:rsidP="00CD6814">
      <w:pPr>
        <w:spacing w:line="276" w:lineRule="auto"/>
        <w:rPr>
          <w:bCs/>
          <w:szCs w:val="24"/>
        </w:rPr>
      </w:pPr>
      <w:r w:rsidRPr="003A60AC">
        <w:rPr>
          <w:bCs/>
          <w:szCs w:val="24"/>
        </w:rPr>
        <w:t>Some</w:t>
      </w:r>
      <w:r w:rsidR="00330C24" w:rsidRPr="003A60AC">
        <w:rPr>
          <w:bCs/>
          <w:szCs w:val="24"/>
        </w:rPr>
        <w:t xml:space="preserve"> lenders </w:t>
      </w:r>
      <w:r w:rsidRPr="003A60AC">
        <w:rPr>
          <w:bCs/>
          <w:szCs w:val="24"/>
        </w:rPr>
        <w:t>tend</w:t>
      </w:r>
      <w:r w:rsidR="00330C24" w:rsidRPr="003A60AC">
        <w:rPr>
          <w:bCs/>
          <w:szCs w:val="24"/>
        </w:rPr>
        <w:t xml:space="preserve"> to </w:t>
      </w:r>
      <w:r w:rsidRPr="003A60AC">
        <w:rPr>
          <w:bCs/>
          <w:szCs w:val="24"/>
        </w:rPr>
        <w:t>have a specific</w:t>
      </w:r>
      <w:r w:rsidR="00004275" w:rsidRPr="003A60AC">
        <w:rPr>
          <w:bCs/>
          <w:szCs w:val="24"/>
        </w:rPr>
        <w:t xml:space="preserve"> </w:t>
      </w:r>
      <w:r w:rsidR="00330C24" w:rsidRPr="003A60AC">
        <w:rPr>
          <w:bCs/>
          <w:szCs w:val="24"/>
        </w:rPr>
        <w:t xml:space="preserve">underwriting box. “As a community bank, we have the flexibility to work with customers and figure out ways to get deals done,” he </w:t>
      </w:r>
      <w:r w:rsidR="00CF4D58">
        <w:rPr>
          <w:bCs/>
          <w:szCs w:val="24"/>
        </w:rPr>
        <w:t>add</w:t>
      </w:r>
      <w:r w:rsidR="00CF4D58" w:rsidRPr="003A60AC">
        <w:rPr>
          <w:bCs/>
          <w:szCs w:val="24"/>
        </w:rPr>
        <w:t>s</w:t>
      </w:r>
      <w:r w:rsidR="00330C24" w:rsidRPr="003A60AC">
        <w:rPr>
          <w:bCs/>
          <w:szCs w:val="24"/>
        </w:rPr>
        <w:t>. “That’s where we’re going to see a lot of opportunity over the course of 2023.”</w:t>
      </w:r>
    </w:p>
    <w:p w14:paraId="4E56409E" w14:textId="45226042" w:rsidR="00330C24" w:rsidRDefault="00330C24" w:rsidP="00CD6814">
      <w:pPr>
        <w:spacing w:line="276" w:lineRule="auto"/>
        <w:rPr>
          <w:bCs/>
          <w:szCs w:val="24"/>
        </w:rPr>
      </w:pPr>
    </w:p>
    <w:p w14:paraId="52D398A5" w14:textId="35F651FA" w:rsidR="00B454B7" w:rsidRDefault="00B454B7" w:rsidP="00CD6814">
      <w:pPr>
        <w:spacing w:line="276" w:lineRule="auto"/>
        <w:rPr>
          <w:bCs/>
          <w:szCs w:val="24"/>
        </w:rPr>
      </w:pPr>
      <w:r w:rsidRPr="00426910">
        <w:rPr>
          <w:b/>
          <w:szCs w:val="24"/>
        </w:rPr>
        <w:t>Beth Mattson-</w:t>
      </w:r>
      <w:proofErr w:type="spellStart"/>
      <w:r w:rsidRPr="00426910">
        <w:rPr>
          <w:b/>
          <w:szCs w:val="24"/>
        </w:rPr>
        <w:t>Teig</w:t>
      </w:r>
      <w:proofErr w:type="spellEnd"/>
      <w:r w:rsidRPr="00B454B7">
        <w:rPr>
          <w:bCs/>
          <w:szCs w:val="24"/>
        </w:rPr>
        <w:t xml:space="preserve"> is a writer in Minnesota.</w:t>
      </w:r>
    </w:p>
    <w:p w14:paraId="45B3B318" w14:textId="68EA4E14" w:rsidR="00B454B7" w:rsidRDefault="00B454B7" w:rsidP="00CD6814">
      <w:pPr>
        <w:spacing w:line="276" w:lineRule="auto"/>
        <w:rPr>
          <w:bCs/>
          <w:szCs w:val="24"/>
        </w:rPr>
      </w:pPr>
      <w:r>
        <w:rPr>
          <w:bCs/>
          <w:szCs w:val="24"/>
        </w:rPr>
        <w:t>[ends]</w:t>
      </w:r>
    </w:p>
    <w:p w14:paraId="3F02A4D0" w14:textId="59F969D8" w:rsidR="00162442" w:rsidRDefault="00162442" w:rsidP="00CD6814">
      <w:pPr>
        <w:spacing w:line="276" w:lineRule="auto"/>
        <w:rPr>
          <w:bCs/>
          <w:szCs w:val="24"/>
        </w:rPr>
      </w:pPr>
    </w:p>
    <w:p w14:paraId="505E7668" w14:textId="77777777" w:rsidR="00D02D4A" w:rsidRDefault="00D02D4A" w:rsidP="00CD6814">
      <w:pPr>
        <w:spacing w:line="276" w:lineRule="auto"/>
        <w:rPr>
          <w:bCs/>
          <w:szCs w:val="24"/>
        </w:rPr>
      </w:pPr>
    </w:p>
    <w:p w14:paraId="4CC7E187" w14:textId="3587AB58" w:rsidR="00162442" w:rsidRDefault="00162442" w:rsidP="00CD6814">
      <w:pPr>
        <w:spacing w:line="276" w:lineRule="auto"/>
        <w:rPr>
          <w:bCs/>
          <w:szCs w:val="24"/>
        </w:rPr>
      </w:pPr>
      <w:r>
        <w:rPr>
          <w:bCs/>
          <w:szCs w:val="24"/>
        </w:rPr>
        <w:t>[quick stat]</w:t>
      </w:r>
    </w:p>
    <w:p w14:paraId="30C528F5" w14:textId="467585C4" w:rsidR="00162442" w:rsidRDefault="00CF4D58" w:rsidP="00CD6814">
      <w:pPr>
        <w:spacing w:line="276" w:lineRule="auto"/>
        <w:rPr>
          <w:bCs/>
          <w:szCs w:val="24"/>
        </w:rPr>
      </w:pPr>
      <w:r>
        <w:rPr>
          <w:bCs/>
          <w:szCs w:val="24"/>
        </w:rPr>
        <w:t>+</w:t>
      </w:r>
      <w:r w:rsidR="00162442">
        <w:rPr>
          <w:bCs/>
          <w:szCs w:val="24"/>
        </w:rPr>
        <w:t>38%</w:t>
      </w:r>
    </w:p>
    <w:p w14:paraId="11680D71" w14:textId="0B71F6BB" w:rsidR="00162442" w:rsidRDefault="002E0B4F" w:rsidP="00CD6814">
      <w:pPr>
        <w:spacing w:line="276" w:lineRule="auto"/>
        <w:rPr>
          <w:bCs/>
          <w:szCs w:val="24"/>
        </w:rPr>
      </w:pPr>
      <w:r>
        <w:rPr>
          <w:bCs/>
          <w:szCs w:val="24"/>
        </w:rPr>
        <w:t>The difference in</w:t>
      </w:r>
      <w:r w:rsidR="00162442">
        <w:rPr>
          <w:bCs/>
          <w:szCs w:val="24"/>
        </w:rPr>
        <w:t xml:space="preserve"> </w:t>
      </w:r>
      <w:r w:rsidR="00162442" w:rsidRPr="003A60AC">
        <w:rPr>
          <w:bCs/>
          <w:szCs w:val="24"/>
        </w:rPr>
        <w:t>commercial real estate transaction volume</w:t>
      </w:r>
      <w:r w:rsidR="00162442">
        <w:rPr>
          <w:bCs/>
          <w:szCs w:val="24"/>
        </w:rPr>
        <w:t xml:space="preserve"> gr</w:t>
      </w:r>
      <w:r>
        <w:rPr>
          <w:bCs/>
          <w:szCs w:val="24"/>
        </w:rPr>
        <w:t>owth between the first half of 2021 and first half of 2022.</w:t>
      </w:r>
    </w:p>
    <w:p w14:paraId="75EC4395" w14:textId="32332898" w:rsidR="002E0B4F" w:rsidRDefault="002E0B4F" w:rsidP="00CD6814">
      <w:pPr>
        <w:spacing w:line="276" w:lineRule="auto"/>
        <w:rPr>
          <w:bCs/>
          <w:szCs w:val="24"/>
        </w:rPr>
      </w:pPr>
    </w:p>
    <w:p w14:paraId="6FA90C35" w14:textId="24D9A3C4" w:rsidR="002E0B4F" w:rsidRDefault="002E0B4F" w:rsidP="00CD6814">
      <w:pPr>
        <w:spacing w:line="276" w:lineRule="auto"/>
        <w:rPr>
          <w:bCs/>
          <w:szCs w:val="24"/>
        </w:rPr>
      </w:pPr>
      <w:r>
        <w:rPr>
          <w:bCs/>
          <w:szCs w:val="24"/>
        </w:rPr>
        <w:t>Source:</w:t>
      </w:r>
      <w:r w:rsidRPr="002E0B4F">
        <w:rPr>
          <w:bCs/>
          <w:szCs w:val="24"/>
        </w:rPr>
        <w:t xml:space="preserve"> </w:t>
      </w:r>
      <w:r w:rsidRPr="003A60AC">
        <w:rPr>
          <w:bCs/>
          <w:szCs w:val="24"/>
        </w:rPr>
        <w:t>MSCI Real Assets</w:t>
      </w:r>
    </w:p>
    <w:p w14:paraId="4C6C5E22" w14:textId="22776DD6" w:rsidR="002E0B4F" w:rsidRDefault="002E0B4F" w:rsidP="00CD6814">
      <w:pPr>
        <w:spacing w:line="276" w:lineRule="auto"/>
        <w:rPr>
          <w:bCs/>
          <w:szCs w:val="24"/>
        </w:rPr>
      </w:pPr>
      <w:r>
        <w:rPr>
          <w:bCs/>
          <w:szCs w:val="24"/>
        </w:rPr>
        <w:t>[quick stat ends]</w:t>
      </w:r>
    </w:p>
    <w:p w14:paraId="0057B4ED" w14:textId="11EBFB7F" w:rsidR="00162442" w:rsidRDefault="00162442" w:rsidP="00CD6814">
      <w:pPr>
        <w:spacing w:line="276" w:lineRule="auto"/>
        <w:rPr>
          <w:bCs/>
          <w:szCs w:val="24"/>
        </w:rPr>
      </w:pPr>
    </w:p>
    <w:p w14:paraId="251BF122" w14:textId="77777777" w:rsidR="00D02D4A" w:rsidRDefault="00D02D4A" w:rsidP="00CD6814">
      <w:pPr>
        <w:spacing w:line="276" w:lineRule="auto"/>
        <w:rPr>
          <w:bCs/>
          <w:szCs w:val="24"/>
        </w:rPr>
      </w:pPr>
    </w:p>
    <w:p w14:paraId="055977D6" w14:textId="0DCA810B" w:rsidR="005E1A70" w:rsidRDefault="005E1A70" w:rsidP="00CD6814">
      <w:pPr>
        <w:spacing w:line="276" w:lineRule="auto"/>
        <w:rPr>
          <w:bCs/>
          <w:szCs w:val="24"/>
        </w:rPr>
      </w:pPr>
      <w:r>
        <w:rPr>
          <w:bCs/>
          <w:szCs w:val="24"/>
        </w:rPr>
        <w:t>[pull quotes]</w:t>
      </w:r>
    </w:p>
    <w:p w14:paraId="52F4DA37" w14:textId="2D4A0756" w:rsidR="00CF4D58" w:rsidRDefault="00CF4D58" w:rsidP="00CF4D58">
      <w:pPr>
        <w:spacing w:line="276" w:lineRule="auto"/>
        <w:rPr>
          <w:bCs/>
          <w:szCs w:val="24"/>
        </w:rPr>
      </w:pPr>
      <w:r w:rsidRPr="003A60AC">
        <w:rPr>
          <w:bCs/>
          <w:szCs w:val="24"/>
        </w:rPr>
        <w:t>“</w:t>
      </w:r>
      <w:r>
        <w:rPr>
          <w:bCs/>
          <w:szCs w:val="24"/>
        </w:rPr>
        <w:t>L</w:t>
      </w:r>
      <w:r w:rsidRPr="003A60AC">
        <w:rPr>
          <w:bCs/>
          <w:szCs w:val="24"/>
        </w:rPr>
        <w:t>ending activity in the first half was up significantly over the prior year due primarily to the increase in refinance and purchase activity in anticipation of rising interest rates</w:t>
      </w:r>
      <w:r>
        <w:rPr>
          <w:bCs/>
          <w:szCs w:val="24"/>
        </w:rPr>
        <w:t>,</w:t>
      </w:r>
      <w:r w:rsidRPr="003A60AC">
        <w:rPr>
          <w:bCs/>
          <w:szCs w:val="24"/>
        </w:rPr>
        <w:t xml:space="preserve">” Michael </w:t>
      </w:r>
      <w:proofErr w:type="spellStart"/>
      <w:r w:rsidRPr="003A60AC">
        <w:rPr>
          <w:bCs/>
          <w:szCs w:val="24"/>
        </w:rPr>
        <w:t>Psyllos</w:t>
      </w:r>
      <w:proofErr w:type="spellEnd"/>
      <w:r w:rsidRPr="003A60AC">
        <w:rPr>
          <w:bCs/>
          <w:szCs w:val="24"/>
        </w:rPr>
        <w:t xml:space="preserve">, </w:t>
      </w:r>
      <w:r>
        <w:rPr>
          <w:bCs/>
          <w:szCs w:val="24"/>
        </w:rPr>
        <w:t>Alma Bank</w:t>
      </w:r>
      <w:r w:rsidRPr="003A60AC">
        <w:rPr>
          <w:bCs/>
          <w:szCs w:val="24"/>
        </w:rPr>
        <w:t xml:space="preserve"> </w:t>
      </w:r>
    </w:p>
    <w:p w14:paraId="6050A702" w14:textId="1123DB89" w:rsidR="00CF4D58" w:rsidRDefault="00CF4D58" w:rsidP="00CD6814">
      <w:pPr>
        <w:spacing w:line="276" w:lineRule="auto"/>
        <w:rPr>
          <w:bCs/>
          <w:szCs w:val="24"/>
        </w:rPr>
      </w:pPr>
    </w:p>
    <w:p w14:paraId="27A9C826" w14:textId="7815FAD9" w:rsidR="00CF4D58" w:rsidRDefault="00CF4D58" w:rsidP="00CD6814">
      <w:pPr>
        <w:spacing w:line="276" w:lineRule="auto"/>
        <w:rPr>
          <w:bCs/>
          <w:szCs w:val="24"/>
        </w:rPr>
      </w:pPr>
      <w:r>
        <w:rPr>
          <w:bCs/>
          <w:szCs w:val="24"/>
        </w:rPr>
        <w:t>“</w:t>
      </w:r>
      <w:r w:rsidRPr="003A60AC">
        <w:rPr>
          <w:bCs/>
          <w:szCs w:val="24"/>
        </w:rPr>
        <w:t>As a community bank, we have the flexibility to work with customers and figure out ways to get deals done</w:t>
      </w:r>
      <w:r>
        <w:rPr>
          <w:bCs/>
          <w:szCs w:val="24"/>
        </w:rPr>
        <w:t>.</w:t>
      </w:r>
      <w:r w:rsidRPr="003A60AC">
        <w:rPr>
          <w:bCs/>
          <w:szCs w:val="24"/>
        </w:rPr>
        <w:t>”</w:t>
      </w:r>
      <w:r>
        <w:rPr>
          <w:bCs/>
          <w:szCs w:val="24"/>
        </w:rPr>
        <w:t xml:space="preserve"> Randy </w:t>
      </w:r>
      <w:proofErr w:type="spellStart"/>
      <w:r>
        <w:rPr>
          <w:bCs/>
          <w:szCs w:val="24"/>
        </w:rPr>
        <w:t>Vicknair</w:t>
      </w:r>
      <w:proofErr w:type="spellEnd"/>
      <w:r>
        <w:rPr>
          <w:bCs/>
          <w:szCs w:val="24"/>
        </w:rPr>
        <w:t>, First Guaranty Bank</w:t>
      </w:r>
    </w:p>
    <w:p w14:paraId="6491EF10" w14:textId="77777777" w:rsidR="005E1A70" w:rsidRPr="003A60AC" w:rsidRDefault="005E1A70" w:rsidP="00CD6814">
      <w:pPr>
        <w:spacing w:line="276" w:lineRule="auto"/>
        <w:rPr>
          <w:bCs/>
          <w:szCs w:val="24"/>
        </w:rPr>
      </w:pPr>
    </w:p>
    <w:bookmarkEnd w:id="1"/>
    <w:bookmarkEnd w:id="2"/>
    <w:bookmarkEnd w:id="3"/>
    <w:bookmarkEnd w:id="4"/>
    <w:p w14:paraId="639BB60B" w14:textId="77777777" w:rsidR="003A60AC" w:rsidRPr="003A60AC" w:rsidRDefault="003A60AC" w:rsidP="00CD6814">
      <w:pPr>
        <w:spacing w:line="276" w:lineRule="auto"/>
        <w:rPr>
          <w:rFonts w:asciiTheme="minorHAnsi" w:hAnsiTheme="minorHAnsi" w:cstheme="minorHAnsi"/>
          <w:bCs/>
          <w:szCs w:val="24"/>
          <w:u w:val="single"/>
        </w:rPr>
      </w:pPr>
      <w:r w:rsidRPr="003A60AC">
        <w:rPr>
          <w:rFonts w:asciiTheme="minorHAnsi" w:hAnsiTheme="minorHAnsi" w:cstheme="minorHAnsi"/>
          <w:bCs/>
          <w:szCs w:val="24"/>
          <w:u w:val="single"/>
        </w:rPr>
        <w:t>Sources</w:t>
      </w:r>
    </w:p>
    <w:p w14:paraId="67A3AB05" w14:textId="77777777" w:rsidR="003A60AC" w:rsidRPr="003A60AC" w:rsidRDefault="003A60AC" w:rsidP="00CD6814">
      <w:pPr>
        <w:spacing w:line="276" w:lineRule="auto"/>
        <w:rPr>
          <w:rFonts w:asciiTheme="minorHAnsi" w:hAnsiTheme="minorHAnsi" w:cstheme="minorHAnsi"/>
          <w:bCs/>
          <w:szCs w:val="24"/>
        </w:rPr>
      </w:pPr>
    </w:p>
    <w:p w14:paraId="0CE4D5A8" w14:textId="77777777" w:rsidR="003A60AC" w:rsidRPr="003A60AC" w:rsidRDefault="00000000" w:rsidP="00CD6814">
      <w:pPr>
        <w:spacing w:line="276" w:lineRule="auto"/>
        <w:rPr>
          <w:rFonts w:asciiTheme="minorHAnsi" w:hAnsiTheme="minorHAnsi" w:cstheme="minorHAnsi"/>
          <w:bCs/>
          <w:szCs w:val="24"/>
        </w:rPr>
      </w:pPr>
      <w:hyperlink r:id="rId10" w:history="1">
        <w:r w:rsidR="003A60AC" w:rsidRPr="003A60AC">
          <w:rPr>
            <w:rStyle w:val="Hyperlink"/>
            <w:rFonts w:asciiTheme="minorHAnsi" w:hAnsiTheme="minorHAnsi" w:cstheme="minorHAnsi"/>
            <w:bCs/>
            <w:szCs w:val="24"/>
          </w:rPr>
          <w:t>Housing Forecast - September 2022 (fanniemae.com)</w:t>
        </w:r>
      </w:hyperlink>
    </w:p>
    <w:p w14:paraId="41E544A7" w14:textId="77777777" w:rsidR="003A60AC" w:rsidRPr="003A60AC" w:rsidRDefault="003A60AC" w:rsidP="00CD6814">
      <w:pPr>
        <w:spacing w:line="276" w:lineRule="auto"/>
        <w:rPr>
          <w:rFonts w:asciiTheme="minorHAnsi" w:hAnsiTheme="minorHAnsi" w:cstheme="minorHAnsi"/>
          <w:bCs/>
          <w:szCs w:val="24"/>
        </w:rPr>
      </w:pPr>
    </w:p>
    <w:p w14:paraId="1387A478" w14:textId="77777777" w:rsidR="003A60AC" w:rsidRPr="003A60AC" w:rsidRDefault="003A60AC" w:rsidP="00CD6814">
      <w:pPr>
        <w:spacing w:line="276" w:lineRule="auto"/>
        <w:rPr>
          <w:rFonts w:asciiTheme="minorHAnsi" w:hAnsiTheme="minorHAnsi" w:cstheme="minorHAnsi"/>
          <w:bCs/>
          <w:snapToGrid/>
          <w:szCs w:val="24"/>
        </w:rPr>
      </w:pPr>
      <w:r w:rsidRPr="003A60AC">
        <w:rPr>
          <w:rFonts w:asciiTheme="minorHAnsi" w:hAnsiTheme="minorHAnsi" w:cstheme="minorHAnsi"/>
          <w:bCs/>
          <w:szCs w:val="24"/>
        </w:rPr>
        <w:t xml:space="preserve">Randy </w:t>
      </w:r>
      <w:proofErr w:type="spellStart"/>
      <w:r w:rsidRPr="003A60AC">
        <w:rPr>
          <w:rFonts w:asciiTheme="minorHAnsi" w:hAnsiTheme="minorHAnsi" w:cstheme="minorHAnsi"/>
          <w:bCs/>
          <w:szCs w:val="24"/>
        </w:rPr>
        <w:t>Vicknair</w:t>
      </w:r>
      <w:proofErr w:type="spellEnd"/>
      <w:r w:rsidRPr="003A60AC">
        <w:rPr>
          <w:rFonts w:asciiTheme="minorHAnsi" w:hAnsiTheme="minorHAnsi" w:cstheme="minorHAnsi"/>
          <w:bCs/>
          <w:szCs w:val="24"/>
        </w:rPr>
        <w:t xml:space="preserve"> CRC</w:t>
      </w:r>
    </w:p>
    <w:p w14:paraId="55BD555A" w14:textId="77777777" w:rsidR="003A60AC" w:rsidRPr="003A60AC" w:rsidRDefault="003A60AC" w:rsidP="00CD6814">
      <w:pPr>
        <w:spacing w:line="276" w:lineRule="auto"/>
        <w:rPr>
          <w:rFonts w:asciiTheme="minorHAnsi" w:hAnsiTheme="minorHAnsi" w:cstheme="minorHAnsi"/>
          <w:bCs/>
          <w:szCs w:val="24"/>
        </w:rPr>
      </w:pPr>
      <w:r w:rsidRPr="003A60AC">
        <w:rPr>
          <w:rFonts w:asciiTheme="minorHAnsi" w:hAnsiTheme="minorHAnsi" w:cstheme="minorHAnsi"/>
          <w:bCs/>
          <w:szCs w:val="24"/>
        </w:rPr>
        <w:t>Chief Lending Officer</w:t>
      </w:r>
    </w:p>
    <w:p w14:paraId="5B803BA7" w14:textId="77777777" w:rsidR="003A60AC" w:rsidRPr="003A60AC" w:rsidRDefault="003A60AC" w:rsidP="00CD6814">
      <w:pPr>
        <w:spacing w:line="276" w:lineRule="auto"/>
        <w:rPr>
          <w:rFonts w:asciiTheme="minorHAnsi" w:hAnsiTheme="minorHAnsi" w:cstheme="minorHAnsi"/>
          <w:bCs/>
          <w:szCs w:val="24"/>
        </w:rPr>
      </w:pPr>
      <w:r w:rsidRPr="003A60AC">
        <w:rPr>
          <w:rFonts w:asciiTheme="minorHAnsi" w:hAnsiTheme="minorHAnsi" w:cstheme="minorHAnsi"/>
          <w:bCs/>
          <w:szCs w:val="24"/>
        </w:rPr>
        <w:t>First Guaranty Bank</w:t>
      </w:r>
    </w:p>
    <w:p w14:paraId="617D6D54" w14:textId="77777777" w:rsidR="003A60AC" w:rsidRPr="003A60AC" w:rsidRDefault="003A60AC" w:rsidP="00CD6814">
      <w:pPr>
        <w:spacing w:line="276" w:lineRule="auto"/>
        <w:rPr>
          <w:rFonts w:asciiTheme="minorHAnsi" w:hAnsiTheme="minorHAnsi" w:cstheme="minorHAnsi"/>
          <w:bCs/>
          <w:szCs w:val="24"/>
        </w:rPr>
      </w:pPr>
      <w:r w:rsidRPr="003A60AC">
        <w:rPr>
          <w:rFonts w:asciiTheme="minorHAnsi" w:hAnsiTheme="minorHAnsi" w:cstheme="minorHAnsi"/>
          <w:bCs/>
          <w:szCs w:val="24"/>
        </w:rPr>
        <w:lastRenderedPageBreak/>
        <w:t>P: 985.375.0376</w:t>
      </w:r>
    </w:p>
    <w:p w14:paraId="23D80C6E" w14:textId="77777777" w:rsidR="003A60AC" w:rsidRPr="003A60AC" w:rsidRDefault="00000000" w:rsidP="00CD6814">
      <w:pPr>
        <w:spacing w:line="276" w:lineRule="auto"/>
        <w:rPr>
          <w:rFonts w:asciiTheme="minorHAnsi" w:hAnsiTheme="minorHAnsi" w:cstheme="minorHAnsi"/>
          <w:bCs/>
          <w:szCs w:val="24"/>
        </w:rPr>
      </w:pPr>
      <w:hyperlink r:id="rId11" w:history="1">
        <w:r w:rsidR="003A60AC" w:rsidRPr="003A60AC">
          <w:rPr>
            <w:rStyle w:val="Hyperlink"/>
            <w:rFonts w:asciiTheme="minorHAnsi" w:hAnsiTheme="minorHAnsi" w:cstheme="minorHAnsi"/>
            <w:bCs/>
            <w:szCs w:val="24"/>
          </w:rPr>
          <w:t>rsvicknair@fgb.net</w:t>
        </w:r>
      </w:hyperlink>
    </w:p>
    <w:p w14:paraId="3261946E" w14:textId="77777777" w:rsidR="003A60AC" w:rsidRPr="003A60AC" w:rsidRDefault="003A60AC" w:rsidP="00CD6814">
      <w:pPr>
        <w:spacing w:line="276" w:lineRule="auto"/>
        <w:rPr>
          <w:rFonts w:asciiTheme="minorHAnsi" w:hAnsiTheme="minorHAnsi" w:cstheme="minorHAnsi"/>
          <w:bCs/>
          <w:szCs w:val="24"/>
        </w:rPr>
      </w:pPr>
      <w:r w:rsidRPr="003A60AC">
        <w:rPr>
          <w:rFonts w:asciiTheme="minorHAnsi" w:hAnsiTheme="minorHAnsi" w:cstheme="minorHAnsi"/>
          <w:bCs/>
          <w:szCs w:val="24"/>
        </w:rPr>
        <w:t>400 East Thomas Street</w:t>
      </w:r>
    </w:p>
    <w:p w14:paraId="648809D7" w14:textId="77777777" w:rsidR="003A60AC" w:rsidRPr="003A60AC" w:rsidRDefault="003A60AC" w:rsidP="00CD6814">
      <w:pPr>
        <w:spacing w:line="276" w:lineRule="auto"/>
        <w:rPr>
          <w:rFonts w:asciiTheme="minorHAnsi" w:hAnsiTheme="minorHAnsi" w:cstheme="minorHAnsi"/>
          <w:bCs/>
          <w:szCs w:val="24"/>
        </w:rPr>
      </w:pPr>
      <w:r w:rsidRPr="003A60AC">
        <w:rPr>
          <w:rFonts w:asciiTheme="minorHAnsi" w:hAnsiTheme="minorHAnsi" w:cstheme="minorHAnsi"/>
          <w:bCs/>
          <w:szCs w:val="24"/>
        </w:rPr>
        <w:t>Hammond, LA 70401</w:t>
      </w:r>
    </w:p>
    <w:p w14:paraId="51EE5AB1" w14:textId="77777777" w:rsidR="003A60AC" w:rsidRPr="003A60AC" w:rsidRDefault="003A60AC" w:rsidP="00CD6814">
      <w:pPr>
        <w:spacing w:line="276" w:lineRule="auto"/>
        <w:rPr>
          <w:rFonts w:asciiTheme="minorHAnsi" w:hAnsiTheme="minorHAnsi" w:cstheme="minorHAnsi"/>
          <w:bCs/>
          <w:szCs w:val="24"/>
        </w:rPr>
      </w:pPr>
    </w:p>
    <w:p w14:paraId="401A0D1F" w14:textId="77777777" w:rsidR="003A60AC" w:rsidRPr="003A60AC" w:rsidRDefault="003A60AC" w:rsidP="00CD6814">
      <w:pPr>
        <w:pStyle w:val="NormalWeb"/>
        <w:spacing w:before="0" w:beforeAutospacing="0" w:after="0" w:afterAutospacing="0" w:line="276" w:lineRule="auto"/>
        <w:rPr>
          <w:rStyle w:val="Strong"/>
          <w:rFonts w:asciiTheme="minorHAnsi" w:hAnsiTheme="minorHAnsi" w:cstheme="minorHAnsi"/>
          <w:b w:val="0"/>
          <w:color w:val="666666"/>
        </w:rPr>
      </w:pPr>
      <w:r w:rsidRPr="003A60AC">
        <w:rPr>
          <w:rStyle w:val="Strong"/>
          <w:rFonts w:asciiTheme="minorHAnsi" w:hAnsiTheme="minorHAnsi" w:cstheme="minorHAnsi"/>
          <w:b w:val="0"/>
          <w:color w:val="666666"/>
        </w:rPr>
        <w:t>Marketing contact for Alma Bank</w:t>
      </w:r>
    </w:p>
    <w:tbl>
      <w:tblPr>
        <w:tblW w:w="6750" w:type="dxa"/>
        <w:tblCellMar>
          <w:left w:w="0" w:type="dxa"/>
          <w:right w:w="0" w:type="dxa"/>
        </w:tblCellMar>
        <w:tblLook w:val="04A0" w:firstRow="1" w:lastRow="0" w:firstColumn="1" w:lastColumn="0" w:noHBand="0" w:noVBand="1"/>
      </w:tblPr>
      <w:tblGrid>
        <w:gridCol w:w="6750"/>
      </w:tblGrid>
      <w:tr w:rsidR="003A60AC" w:rsidRPr="003A60AC" w14:paraId="6D4E9E9E" w14:textId="77777777" w:rsidTr="0025344A">
        <w:tc>
          <w:tcPr>
            <w:tcW w:w="6750" w:type="dxa"/>
            <w:hideMark/>
          </w:tcPr>
          <w:tbl>
            <w:tblPr>
              <w:tblW w:w="6750" w:type="dxa"/>
              <w:tblCellMar>
                <w:left w:w="0" w:type="dxa"/>
                <w:right w:w="0" w:type="dxa"/>
              </w:tblCellMar>
              <w:tblLook w:val="04A0" w:firstRow="1" w:lastRow="0" w:firstColumn="1" w:lastColumn="0" w:noHBand="0" w:noVBand="1"/>
            </w:tblPr>
            <w:tblGrid>
              <w:gridCol w:w="6750"/>
            </w:tblGrid>
            <w:tr w:rsidR="003A60AC" w:rsidRPr="003A60AC" w14:paraId="4A1FA877" w14:textId="77777777" w:rsidTr="0025344A">
              <w:tc>
                <w:tcPr>
                  <w:tcW w:w="0" w:type="auto"/>
                  <w:tcMar>
                    <w:top w:w="150" w:type="dxa"/>
                    <w:left w:w="0" w:type="dxa"/>
                    <w:bottom w:w="0" w:type="dxa"/>
                    <w:right w:w="0" w:type="dxa"/>
                  </w:tcMar>
                  <w:vAlign w:val="bottom"/>
                </w:tcPr>
                <w:p w14:paraId="4276296A" w14:textId="07982384" w:rsidR="003A60AC" w:rsidRPr="003A60AC" w:rsidRDefault="003A60AC" w:rsidP="00CD6814">
                  <w:pPr>
                    <w:spacing w:line="276" w:lineRule="auto"/>
                    <w:rPr>
                      <w:bCs/>
                      <w:sz w:val="20"/>
                    </w:rPr>
                  </w:pPr>
                  <w:r w:rsidRPr="003A60AC">
                    <w:rPr>
                      <w:rStyle w:val="Strong"/>
                      <w:rFonts w:asciiTheme="minorHAnsi" w:hAnsiTheme="minorHAnsi" w:cstheme="minorHAnsi"/>
                      <w:b w:val="0"/>
                      <w:color w:val="666666"/>
                      <w:szCs w:val="24"/>
                    </w:rPr>
                    <w:t xml:space="preserve">George </w:t>
                  </w:r>
                  <w:proofErr w:type="spellStart"/>
                  <w:r w:rsidRPr="003A60AC">
                    <w:rPr>
                      <w:rStyle w:val="Strong"/>
                      <w:rFonts w:asciiTheme="minorHAnsi" w:hAnsiTheme="minorHAnsi" w:cstheme="minorHAnsi"/>
                      <w:b w:val="0"/>
                      <w:color w:val="666666"/>
                      <w:szCs w:val="24"/>
                    </w:rPr>
                    <w:t>Frangos</w:t>
                  </w:r>
                  <w:proofErr w:type="spellEnd"/>
                  <w:r w:rsidRPr="003A60AC">
                    <w:rPr>
                      <w:rFonts w:asciiTheme="minorHAnsi" w:hAnsiTheme="minorHAnsi" w:cstheme="minorHAnsi"/>
                      <w:bCs/>
                      <w:szCs w:val="24"/>
                    </w:rPr>
                    <w:br/>
                  </w:r>
                  <w:r w:rsidRPr="003A60AC">
                    <w:rPr>
                      <w:rStyle w:val="Strong"/>
                      <w:rFonts w:asciiTheme="minorHAnsi" w:hAnsiTheme="minorHAnsi" w:cstheme="minorHAnsi"/>
                      <w:b w:val="0"/>
                      <w:color w:val="666666"/>
                      <w:szCs w:val="24"/>
                    </w:rPr>
                    <w:t>First Vice President</w:t>
                  </w:r>
                  <w:r w:rsidRPr="003A60AC">
                    <w:rPr>
                      <w:rFonts w:asciiTheme="minorHAnsi" w:hAnsiTheme="minorHAnsi" w:cstheme="minorHAnsi"/>
                      <w:bCs/>
                      <w:szCs w:val="24"/>
                    </w:rPr>
                    <w:br/>
                  </w:r>
                  <w:r w:rsidRPr="003A60AC">
                    <w:rPr>
                      <w:rStyle w:val="Strong"/>
                      <w:rFonts w:asciiTheme="minorHAnsi" w:hAnsiTheme="minorHAnsi" w:cstheme="minorHAnsi"/>
                      <w:b w:val="0"/>
                      <w:color w:val="666666"/>
                      <w:szCs w:val="24"/>
                    </w:rPr>
                    <w:t>Director of Marketing and Communications</w:t>
                  </w:r>
                  <w:r w:rsidRPr="003A60AC">
                    <w:rPr>
                      <w:rFonts w:asciiTheme="minorHAnsi" w:hAnsiTheme="minorHAnsi" w:cstheme="minorHAnsi"/>
                      <w:bCs/>
                      <w:szCs w:val="24"/>
                    </w:rPr>
                    <w:br/>
                  </w:r>
                  <w:r w:rsidRPr="003A60AC">
                    <w:rPr>
                      <w:rStyle w:val="Strong"/>
                      <w:rFonts w:asciiTheme="minorHAnsi" w:hAnsiTheme="minorHAnsi" w:cstheme="minorHAnsi"/>
                      <w:b w:val="0"/>
                      <w:color w:val="F69646"/>
                      <w:szCs w:val="24"/>
                    </w:rPr>
                    <w:t>Alma Bank</w:t>
                  </w:r>
                  <w:r w:rsidRPr="003A60AC">
                    <w:rPr>
                      <w:rFonts w:asciiTheme="minorHAnsi" w:hAnsiTheme="minorHAnsi" w:cstheme="minorHAnsi"/>
                      <w:bCs/>
                      <w:szCs w:val="24"/>
                    </w:rPr>
                    <w:br/>
                  </w:r>
                  <w:r w:rsidRPr="003A60AC">
                    <w:rPr>
                      <w:rStyle w:val="Strong"/>
                      <w:rFonts w:asciiTheme="minorHAnsi" w:hAnsiTheme="minorHAnsi" w:cstheme="minorHAnsi"/>
                      <w:b w:val="0"/>
                      <w:color w:val="A5A5A5"/>
                      <w:szCs w:val="24"/>
                    </w:rPr>
                    <w:t>31-10 37th Avenue Suite 400</w:t>
                  </w:r>
                  <w:r w:rsidRPr="003A60AC">
                    <w:rPr>
                      <w:rFonts w:asciiTheme="minorHAnsi" w:hAnsiTheme="minorHAnsi" w:cstheme="minorHAnsi"/>
                      <w:bCs/>
                      <w:color w:val="A5A5A5"/>
                      <w:szCs w:val="24"/>
                    </w:rPr>
                    <w:br/>
                  </w:r>
                  <w:r w:rsidRPr="003A60AC">
                    <w:rPr>
                      <w:rStyle w:val="Strong"/>
                      <w:rFonts w:asciiTheme="minorHAnsi" w:hAnsiTheme="minorHAnsi" w:cstheme="minorHAnsi"/>
                      <w:b w:val="0"/>
                      <w:color w:val="A5A5A5"/>
                      <w:szCs w:val="24"/>
                    </w:rPr>
                    <w:t>LIC, NY 11101</w:t>
                  </w:r>
                  <w:r w:rsidRPr="003A60AC">
                    <w:rPr>
                      <w:rFonts w:asciiTheme="minorHAnsi" w:hAnsiTheme="minorHAnsi" w:cstheme="minorHAnsi"/>
                      <w:bCs/>
                      <w:color w:val="A5A5A5"/>
                      <w:szCs w:val="24"/>
                    </w:rPr>
                    <w:br/>
                  </w:r>
                  <w:r w:rsidRPr="003A60AC">
                    <w:rPr>
                      <w:rStyle w:val="Strong"/>
                      <w:rFonts w:asciiTheme="minorHAnsi" w:hAnsiTheme="minorHAnsi" w:cstheme="minorHAnsi"/>
                      <w:b w:val="0"/>
                      <w:color w:val="F69646"/>
                      <w:szCs w:val="24"/>
                    </w:rPr>
                    <w:t>T</w:t>
                  </w:r>
                  <w:r w:rsidRPr="003A60AC">
                    <w:rPr>
                      <w:rStyle w:val="Strong"/>
                      <w:rFonts w:asciiTheme="minorHAnsi" w:hAnsiTheme="minorHAnsi" w:cstheme="minorHAnsi"/>
                      <w:b w:val="0"/>
                      <w:szCs w:val="24"/>
                    </w:rPr>
                    <w:t> </w:t>
                  </w:r>
                  <w:r w:rsidRPr="003A60AC">
                    <w:rPr>
                      <w:rStyle w:val="Strong"/>
                      <w:rFonts w:asciiTheme="minorHAnsi" w:hAnsiTheme="minorHAnsi" w:cstheme="minorHAnsi"/>
                      <w:b w:val="0"/>
                      <w:color w:val="666666"/>
                      <w:szCs w:val="24"/>
                    </w:rPr>
                    <w:t>(347) 649-6123</w:t>
                  </w:r>
                  <w:r w:rsidRPr="003A60AC">
                    <w:rPr>
                      <w:rFonts w:asciiTheme="minorHAnsi" w:hAnsiTheme="minorHAnsi" w:cstheme="minorHAnsi"/>
                      <w:bCs/>
                      <w:color w:val="666666"/>
                      <w:szCs w:val="24"/>
                    </w:rPr>
                    <w:br/>
                  </w:r>
                  <w:r w:rsidRPr="003A60AC">
                    <w:rPr>
                      <w:rStyle w:val="Strong"/>
                      <w:rFonts w:asciiTheme="minorHAnsi" w:hAnsiTheme="minorHAnsi" w:cstheme="minorHAnsi"/>
                      <w:b w:val="0"/>
                      <w:color w:val="F59D56"/>
                      <w:szCs w:val="24"/>
                    </w:rPr>
                    <w:t>M</w:t>
                  </w:r>
                  <w:r w:rsidRPr="003A60AC">
                    <w:rPr>
                      <w:rStyle w:val="Strong"/>
                      <w:rFonts w:asciiTheme="minorHAnsi" w:hAnsiTheme="minorHAnsi" w:cstheme="minorHAnsi"/>
                      <w:b w:val="0"/>
                      <w:color w:val="666666"/>
                      <w:szCs w:val="24"/>
                    </w:rPr>
                    <w:t xml:space="preserve"> (934) 386-6579</w:t>
                  </w:r>
                  <w:r w:rsidRPr="003A60AC">
                    <w:rPr>
                      <w:rFonts w:asciiTheme="minorHAnsi" w:hAnsiTheme="minorHAnsi" w:cstheme="minorHAnsi"/>
                      <w:bCs/>
                      <w:szCs w:val="24"/>
                    </w:rPr>
                    <w:br/>
                  </w:r>
                  <w:hyperlink r:id="rId12" w:history="1">
                    <w:r w:rsidRPr="003A60AC">
                      <w:rPr>
                        <w:rStyle w:val="Hyperlink"/>
                        <w:rFonts w:asciiTheme="minorHAnsi" w:hAnsiTheme="minorHAnsi" w:cstheme="minorHAnsi"/>
                        <w:bCs/>
                        <w:szCs w:val="24"/>
                      </w:rPr>
                      <w:t>gfrangos@almabank.com</w:t>
                    </w:r>
                  </w:hyperlink>
                </w:p>
              </w:tc>
            </w:tr>
            <w:tr w:rsidR="003A60AC" w:rsidRPr="003A60AC" w14:paraId="6D513C5D" w14:textId="77777777" w:rsidTr="0025344A">
              <w:tc>
                <w:tcPr>
                  <w:tcW w:w="4800" w:type="dxa"/>
                  <w:tcMar>
                    <w:top w:w="30" w:type="dxa"/>
                    <w:left w:w="0" w:type="dxa"/>
                    <w:bottom w:w="120" w:type="dxa"/>
                    <w:right w:w="0" w:type="dxa"/>
                  </w:tcMar>
                  <w:vAlign w:val="bottom"/>
                </w:tcPr>
                <w:p w14:paraId="3B8EB8B8" w14:textId="77777777" w:rsidR="003A60AC" w:rsidRPr="003A60AC" w:rsidRDefault="003A60AC" w:rsidP="00CD6814">
                  <w:pPr>
                    <w:pStyle w:val="NormalWeb"/>
                    <w:spacing w:before="15" w:beforeAutospacing="0" w:after="15" w:afterAutospacing="0" w:line="276" w:lineRule="auto"/>
                    <w:ind w:left="15" w:right="15"/>
                    <w:rPr>
                      <w:rFonts w:ascii="Arial" w:eastAsiaTheme="minorHAnsi" w:hAnsi="Arial" w:cs="Arial"/>
                      <w:bCs/>
                      <w:color w:val="333333"/>
                      <w:sz w:val="22"/>
                      <w:szCs w:val="22"/>
                    </w:rPr>
                  </w:pPr>
                </w:p>
              </w:tc>
            </w:tr>
            <w:tr w:rsidR="003A60AC" w:rsidRPr="003A60AC" w14:paraId="0361C37E" w14:textId="77777777" w:rsidTr="0025344A">
              <w:tc>
                <w:tcPr>
                  <w:tcW w:w="0" w:type="auto"/>
                  <w:hideMark/>
                </w:tcPr>
                <w:p w14:paraId="6085AD99" w14:textId="77777777" w:rsidR="003A60AC" w:rsidRPr="003A60AC" w:rsidRDefault="003A60AC" w:rsidP="00CD6814">
                  <w:pPr>
                    <w:pStyle w:val="NormalWeb"/>
                    <w:spacing w:before="15" w:beforeAutospacing="0" w:after="15" w:afterAutospacing="0" w:line="276" w:lineRule="auto"/>
                    <w:ind w:left="15" w:right="15"/>
                    <w:rPr>
                      <w:rFonts w:ascii="Arial" w:hAnsi="Arial" w:cs="Arial"/>
                      <w:bCs/>
                      <w:color w:val="762A5B"/>
                      <w:sz w:val="21"/>
                      <w:szCs w:val="21"/>
                    </w:rPr>
                  </w:pPr>
                  <w:r w:rsidRPr="003A60AC">
                    <w:rPr>
                      <w:rFonts w:ascii="Arial" w:hAnsi="Arial" w:cs="Arial"/>
                      <w:bCs/>
                      <w:color w:val="762A5B"/>
                      <w:sz w:val="21"/>
                      <w:szCs w:val="21"/>
                    </w:rPr>
                    <w:t xml:space="preserve">Jen </w:t>
                  </w:r>
                  <w:proofErr w:type="spellStart"/>
                  <w:r w:rsidRPr="003A60AC">
                    <w:rPr>
                      <w:rFonts w:ascii="Arial" w:hAnsi="Arial" w:cs="Arial"/>
                      <w:bCs/>
                      <w:color w:val="762A5B"/>
                      <w:sz w:val="21"/>
                      <w:szCs w:val="21"/>
                    </w:rPr>
                    <w:t>Braico</w:t>
                  </w:r>
                  <w:proofErr w:type="spellEnd"/>
                </w:p>
              </w:tc>
            </w:tr>
            <w:tr w:rsidR="003A60AC" w:rsidRPr="003A60AC" w14:paraId="7638D280" w14:textId="77777777" w:rsidTr="0025344A">
              <w:tc>
                <w:tcPr>
                  <w:tcW w:w="0" w:type="auto"/>
                  <w:hideMark/>
                </w:tcPr>
                <w:p w14:paraId="58956461" w14:textId="77777777" w:rsidR="003A60AC" w:rsidRPr="003A60AC" w:rsidRDefault="003A60AC" w:rsidP="00CD6814">
                  <w:pPr>
                    <w:pStyle w:val="NormalWeb"/>
                    <w:spacing w:before="15" w:beforeAutospacing="0" w:after="15" w:afterAutospacing="0" w:line="276" w:lineRule="auto"/>
                    <w:ind w:left="15" w:right="15"/>
                    <w:rPr>
                      <w:rFonts w:ascii="Arial" w:hAnsi="Arial" w:cs="Arial"/>
                      <w:bCs/>
                      <w:color w:val="000000"/>
                      <w:sz w:val="18"/>
                      <w:szCs w:val="18"/>
                    </w:rPr>
                  </w:pPr>
                  <w:r w:rsidRPr="003A60AC">
                    <w:rPr>
                      <w:rFonts w:ascii="Arial" w:hAnsi="Arial" w:cs="Arial"/>
                      <w:bCs/>
                      <w:color w:val="000000"/>
                      <w:sz w:val="18"/>
                      <w:szCs w:val="18"/>
                    </w:rPr>
                    <w:t xml:space="preserve">Senior Communications Manager </w:t>
                  </w:r>
                </w:p>
              </w:tc>
            </w:tr>
            <w:tr w:rsidR="003A60AC" w:rsidRPr="003A60AC" w14:paraId="00E71948" w14:textId="77777777" w:rsidTr="0025344A">
              <w:tc>
                <w:tcPr>
                  <w:tcW w:w="0" w:type="auto"/>
                  <w:tcMar>
                    <w:top w:w="0" w:type="dxa"/>
                    <w:left w:w="0" w:type="dxa"/>
                    <w:bottom w:w="60" w:type="dxa"/>
                    <w:right w:w="0" w:type="dxa"/>
                  </w:tcMar>
                  <w:hideMark/>
                </w:tcPr>
                <w:p w14:paraId="7CF05C9A" w14:textId="77777777" w:rsidR="003A60AC" w:rsidRPr="003A60AC" w:rsidRDefault="003A60AC" w:rsidP="00CD6814">
                  <w:pPr>
                    <w:pStyle w:val="NormalWeb"/>
                    <w:spacing w:before="15" w:beforeAutospacing="0" w:after="15" w:afterAutospacing="0" w:line="276" w:lineRule="auto"/>
                    <w:ind w:left="15" w:right="15"/>
                    <w:rPr>
                      <w:rFonts w:ascii="Arial" w:hAnsi="Arial" w:cs="Arial"/>
                      <w:bCs/>
                      <w:color w:val="000000"/>
                      <w:sz w:val="18"/>
                      <w:szCs w:val="18"/>
                    </w:rPr>
                  </w:pPr>
                  <w:r w:rsidRPr="003A60AC">
                    <w:rPr>
                      <w:rFonts w:ascii="Arial" w:hAnsi="Arial" w:cs="Arial"/>
                      <w:bCs/>
                      <w:color w:val="000000"/>
                      <w:sz w:val="18"/>
                      <w:szCs w:val="18"/>
                    </w:rPr>
                    <w:t>First Business Bank</w:t>
                  </w:r>
                </w:p>
                <w:p w14:paraId="2C1D7390" w14:textId="77777777" w:rsidR="003A60AC" w:rsidRPr="003A60AC" w:rsidRDefault="003A60AC" w:rsidP="00CD6814">
                  <w:pPr>
                    <w:spacing w:line="276" w:lineRule="auto"/>
                    <w:rPr>
                      <w:rFonts w:ascii="Arial" w:hAnsi="Arial" w:cs="Arial"/>
                      <w:bCs/>
                      <w:color w:val="333333"/>
                      <w:sz w:val="22"/>
                      <w:szCs w:val="22"/>
                    </w:rPr>
                  </w:pPr>
                  <w:r w:rsidRPr="003A60AC">
                    <w:rPr>
                      <w:rFonts w:ascii="Arial" w:hAnsi="Arial" w:cs="Arial"/>
                      <w:bCs/>
                      <w:color w:val="333333"/>
                    </w:rPr>
                    <w:br/>
                  </w:r>
                </w:p>
              </w:tc>
            </w:tr>
            <w:tr w:rsidR="003A60AC" w:rsidRPr="003A60AC" w14:paraId="6A62342B" w14:textId="77777777" w:rsidTr="0025344A">
              <w:tc>
                <w:tcPr>
                  <w:tcW w:w="0" w:type="auto"/>
                  <w:hideMark/>
                </w:tcPr>
                <w:p w14:paraId="3CC19AF3" w14:textId="77777777" w:rsidR="003A60AC" w:rsidRPr="003A60AC" w:rsidRDefault="003A60AC" w:rsidP="00CD6814">
                  <w:pPr>
                    <w:pStyle w:val="NormalWeb"/>
                    <w:spacing w:before="15" w:beforeAutospacing="0" w:after="15" w:afterAutospacing="0" w:line="276" w:lineRule="auto"/>
                    <w:ind w:left="15" w:right="15"/>
                    <w:rPr>
                      <w:rFonts w:ascii="Arial" w:eastAsiaTheme="minorHAnsi" w:hAnsi="Arial" w:cs="Arial"/>
                      <w:bCs/>
                      <w:color w:val="333333"/>
                      <w:sz w:val="18"/>
                      <w:szCs w:val="18"/>
                    </w:rPr>
                  </w:pPr>
                  <w:r w:rsidRPr="003A60AC">
                    <w:rPr>
                      <w:rFonts w:ascii="Arial" w:hAnsi="Arial" w:cs="Arial"/>
                      <w:bCs/>
                      <w:color w:val="762A5B"/>
                      <w:sz w:val="18"/>
                      <w:szCs w:val="18"/>
                    </w:rPr>
                    <w:t>Office:</w:t>
                  </w:r>
                  <w:r w:rsidRPr="003A60AC">
                    <w:rPr>
                      <w:rFonts w:ascii="Arial" w:hAnsi="Arial" w:cs="Arial"/>
                      <w:bCs/>
                      <w:color w:val="333333"/>
                      <w:sz w:val="18"/>
                      <w:szCs w:val="18"/>
                    </w:rPr>
                    <w:t xml:space="preserve"> </w:t>
                  </w:r>
                  <w:hyperlink r:id="rId13" w:history="1">
                    <w:r w:rsidRPr="003A60AC">
                      <w:rPr>
                        <w:rStyle w:val="Hyperlink"/>
                        <w:rFonts w:ascii="Arial" w:hAnsi="Arial" w:cs="Arial"/>
                        <w:bCs/>
                        <w:color w:val="333333"/>
                        <w:sz w:val="18"/>
                        <w:szCs w:val="18"/>
                        <w:u w:val="none"/>
                      </w:rPr>
                      <w:t>608-232-5773</w:t>
                    </w:r>
                  </w:hyperlink>
                  <w:r w:rsidRPr="003A60AC">
                    <w:rPr>
                      <w:rFonts w:ascii="Arial" w:hAnsi="Arial" w:cs="Arial"/>
                      <w:bCs/>
                      <w:color w:val="333333"/>
                      <w:sz w:val="18"/>
                      <w:szCs w:val="18"/>
                    </w:rPr>
                    <w:t xml:space="preserve">  |  </w:t>
                  </w:r>
                  <w:r w:rsidRPr="003A60AC">
                    <w:rPr>
                      <w:rFonts w:ascii="Arial" w:hAnsi="Arial" w:cs="Arial"/>
                      <w:bCs/>
                      <w:color w:val="762A5B"/>
                      <w:sz w:val="18"/>
                      <w:szCs w:val="18"/>
                    </w:rPr>
                    <w:t>Mobile:</w:t>
                  </w:r>
                  <w:r w:rsidRPr="003A60AC">
                    <w:rPr>
                      <w:rFonts w:ascii="Arial" w:hAnsi="Arial" w:cs="Arial"/>
                      <w:bCs/>
                      <w:color w:val="333333"/>
                      <w:sz w:val="18"/>
                      <w:szCs w:val="18"/>
                    </w:rPr>
                    <w:t xml:space="preserve"> </w:t>
                  </w:r>
                  <w:hyperlink r:id="rId14" w:history="1">
                    <w:r w:rsidRPr="003A60AC">
                      <w:rPr>
                        <w:rStyle w:val="Hyperlink"/>
                        <w:rFonts w:ascii="Arial" w:hAnsi="Arial" w:cs="Arial"/>
                        <w:bCs/>
                        <w:color w:val="333333"/>
                        <w:sz w:val="18"/>
                        <w:szCs w:val="18"/>
                        <w:u w:val="none"/>
                      </w:rPr>
                      <w:t>608-239-9271</w:t>
                    </w:r>
                  </w:hyperlink>
                  <w:r w:rsidRPr="003A60AC">
                    <w:rPr>
                      <w:rFonts w:ascii="Arial" w:hAnsi="Arial" w:cs="Arial"/>
                      <w:bCs/>
                      <w:color w:val="333333"/>
                      <w:sz w:val="18"/>
                      <w:szCs w:val="18"/>
                    </w:rPr>
                    <w:t xml:space="preserve"> </w:t>
                  </w:r>
                </w:p>
              </w:tc>
            </w:tr>
            <w:tr w:rsidR="003A60AC" w:rsidRPr="003A60AC" w14:paraId="23D83B7D" w14:textId="77777777" w:rsidTr="0025344A">
              <w:tc>
                <w:tcPr>
                  <w:tcW w:w="0" w:type="auto"/>
                  <w:hideMark/>
                </w:tcPr>
                <w:p w14:paraId="54783D65" w14:textId="77777777" w:rsidR="003A60AC" w:rsidRPr="003A60AC" w:rsidRDefault="00000000" w:rsidP="00CD6814">
                  <w:pPr>
                    <w:pStyle w:val="NormalWeb"/>
                    <w:spacing w:before="15" w:beforeAutospacing="0" w:after="15" w:afterAutospacing="0" w:line="276" w:lineRule="auto"/>
                    <w:ind w:left="15" w:right="15"/>
                    <w:rPr>
                      <w:rFonts w:ascii="Arial" w:hAnsi="Arial" w:cs="Arial"/>
                      <w:bCs/>
                      <w:color w:val="333333"/>
                      <w:sz w:val="18"/>
                      <w:szCs w:val="18"/>
                    </w:rPr>
                  </w:pPr>
                  <w:hyperlink r:id="rId15" w:history="1">
                    <w:r w:rsidR="003A60AC" w:rsidRPr="003A60AC">
                      <w:rPr>
                        <w:rStyle w:val="Hyperlink"/>
                        <w:rFonts w:ascii="Arial" w:hAnsi="Arial" w:cs="Arial"/>
                        <w:bCs/>
                        <w:color w:val="2600FF"/>
                        <w:sz w:val="18"/>
                        <w:szCs w:val="18"/>
                      </w:rPr>
                      <w:t>jbraico@firstbusiness.bank</w:t>
                    </w:r>
                  </w:hyperlink>
                  <w:r w:rsidR="003A60AC" w:rsidRPr="003A60AC">
                    <w:rPr>
                      <w:rFonts w:ascii="Arial" w:hAnsi="Arial" w:cs="Arial"/>
                      <w:bCs/>
                      <w:color w:val="333333"/>
                      <w:sz w:val="18"/>
                      <w:szCs w:val="18"/>
                    </w:rPr>
                    <w:t xml:space="preserve"> | </w:t>
                  </w:r>
                  <w:hyperlink r:id="rId16" w:tgtFrame="_blank" w:history="1">
                    <w:proofErr w:type="spellStart"/>
                    <w:proofErr w:type="gramStart"/>
                    <w:r w:rsidR="003A60AC" w:rsidRPr="003A60AC">
                      <w:rPr>
                        <w:rStyle w:val="Hyperlink"/>
                        <w:rFonts w:ascii="Arial" w:hAnsi="Arial" w:cs="Arial"/>
                        <w:bCs/>
                        <w:color w:val="2600FF"/>
                        <w:sz w:val="18"/>
                        <w:szCs w:val="18"/>
                      </w:rPr>
                      <w:t>firstbusiness.bank</w:t>
                    </w:r>
                    <w:proofErr w:type="spellEnd"/>
                    <w:proofErr w:type="gramEnd"/>
                    <w:r w:rsidR="003A60AC" w:rsidRPr="003A60AC">
                      <w:rPr>
                        <w:rStyle w:val="Hyperlink"/>
                        <w:rFonts w:ascii="Arial" w:hAnsi="Arial" w:cs="Arial"/>
                        <w:bCs/>
                        <w:color w:val="2600FF"/>
                        <w:sz w:val="18"/>
                        <w:szCs w:val="18"/>
                      </w:rPr>
                      <w:t xml:space="preserve"> </w:t>
                    </w:r>
                  </w:hyperlink>
                </w:p>
              </w:tc>
            </w:tr>
          </w:tbl>
          <w:p w14:paraId="396EDE30" w14:textId="77777777" w:rsidR="003A60AC" w:rsidRPr="003A60AC" w:rsidRDefault="003A60AC" w:rsidP="00CD6814">
            <w:pPr>
              <w:spacing w:line="276" w:lineRule="auto"/>
              <w:rPr>
                <w:bCs/>
                <w:sz w:val="20"/>
              </w:rPr>
            </w:pPr>
          </w:p>
        </w:tc>
      </w:tr>
      <w:tr w:rsidR="003A60AC" w:rsidRPr="003A60AC" w14:paraId="25FB29EC" w14:textId="77777777" w:rsidTr="0025344A">
        <w:tc>
          <w:tcPr>
            <w:tcW w:w="0" w:type="auto"/>
            <w:hideMark/>
          </w:tcPr>
          <w:p w14:paraId="7C2802AA" w14:textId="77777777" w:rsidR="003A60AC" w:rsidRPr="003A60AC" w:rsidRDefault="003A60AC" w:rsidP="00CD6814">
            <w:pPr>
              <w:pStyle w:val="NormalWeb"/>
              <w:spacing w:before="15" w:beforeAutospacing="0" w:after="15" w:afterAutospacing="0" w:line="276" w:lineRule="auto"/>
              <w:ind w:left="15" w:right="15"/>
              <w:rPr>
                <w:rFonts w:ascii="Arial" w:eastAsiaTheme="minorHAnsi" w:hAnsi="Arial" w:cs="Arial"/>
                <w:bCs/>
                <w:color w:val="000000"/>
                <w:sz w:val="18"/>
                <w:szCs w:val="18"/>
              </w:rPr>
            </w:pPr>
            <w:r w:rsidRPr="003A60AC">
              <w:rPr>
                <w:rFonts w:ascii="Arial" w:hAnsi="Arial" w:cs="Arial"/>
                <w:bCs/>
                <w:color w:val="000000"/>
                <w:sz w:val="18"/>
                <w:szCs w:val="18"/>
              </w:rPr>
              <w:t xml:space="preserve">401 </w:t>
            </w:r>
            <w:proofErr w:type="spellStart"/>
            <w:r w:rsidRPr="003A60AC">
              <w:rPr>
                <w:rFonts w:ascii="Arial" w:hAnsi="Arial" w:cs="Arial"/>
                <w:bCs/>
                <w:color w:val="000000"/>
                <w:sz w:val="18"/>
                <w:szCs w:val="18"/>
              </w:rPr>
              <w:t>Charmany</w:t>
            </w:r>
            <w:proofErr w:type="spellEnd"/>
            <w:r w:rsidRPr="003A60AC">
              <w:rPr>
                <w:rFonts w:ascii="Arial" w:hAnsi="Arial" w:cs="Arial"/>
                <w:bCs/>
                <w:color w:val="000000"/>
                <w:sz w:val="18"/>
                <w:szCs w:val="18"/>
              </w:rPr>
              <w:t xml:space="preserve"> Drive, Madison, WI 53719 </w:t>
            </w:r>
          </w:p>
        </w:tc>
      </w:tr>
    </w:tbl>
    <w:p w14:paraId="55C439A5" w14:textId="77777777" w:rsidR="00330C24" w:rsidRPr="003A60AC" w:rsidRDefault="00330C24" w:rsidP="00CD6814">
      <w:pPr>
        <w:spacing w:line="276" w:lineRule="auto"/>
        <w:rPr>
          <w:bCs/>
          <w:szCs w:val="24"/>
        </w:rPr>
      </w:pPr>
    </w:p>
    <w:sectPr w:rsidR="00330C24" w:rsidRPr="003A60AC" w:rsidSect="009F63F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olly Bennett" w:date="2022-10-12T14:21:00Z" w:initials="MB">
    <w:p w14:paraId="6D73E301" w14:textId="7F54D46F" w:rsidR="003463D1" w:rsidRDefault="003463D1">
      <w:pPr>
        <w:pStyle w:val="CommentText"/>
      </w:pPr>
      <w:r>
        <w:rPr>
          <w:rStyle w:val="CommentReference"/>
        </w:rPr>
        <w:annotationRef/>
      </w:r>
      <w:r>
        <w:t>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3E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4BDB" w16cex:dateUtc="2022-10-12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3E301" w16cid:durableId="26F14B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3E3"/>
    <w:multiLevelType w:val="hybridMultilevel"/>
    <w:tmpl w:val="03ECCD1C"/>
    <w:lvl w:ilvl="0" w:tplc="25720598">
      <w:start w:val="1"/>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D4998"/>
    <w:multiLevelType w:val="hybridMultilevel"/>
    <w:tmpl w:val="256A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63296"/>
    <w:multiLevelType w:val="hybridMultilevel"/>
    <w:tmpl w:val="11AA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479857">
    <w:abstractNumId w:val="2"/>
  </w:num>
  <w:num w:numId="2" w16cid:durableId="1647397408">
    <w:abstractNumId w:val="0"/>
  </w:num>
  <w:num w:numId="3" w16cid:durableId="631978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ly Bennett">
    <w15:presenceInfo w15:providerId="AD" w15:userId="S::mbennett@mspcommunications.com::86bf68bd-95d1-465f-8336-35aeda696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AC"/>
    <w:rsid w:val="00000307"/>
    <w:rsid w:val="00004275"/>
    <w:rsid w:val="00025634"/>
    <w:rsid w:val="00051090"/>
    <w:rsid w:val="0006470C"/>
    <w:rsid w:val="000A4DC1"/>
    <w:rsid w:val="000D590A"/>
    <w:rsid w:val="000E0924"/>
    <w:rsid w:val="00105611"/>
    <w:rsid w:val="00150F19"/>
    <w:rsid w:val="00162442"/>
    <w:rsid w:val="001C7C1E"/>
    <w:rsid w:val="00296D2D"/>
    <w:rsid w:val="002B194F"/>
    <w:rsid w:val="002E0B4F"/>
    <w:rsid w:val="00325993"/>
    <w:rsid w:val="00330C24"/>
    <w:rsid w:val="003463D1"/>
    <w:rsid w:val="00364281"/>
    <w:rsid w:val="00364BC0"/>
    <w:rsid w:val="00374306"/>
    <w:rsid w:val="0037635A"/>
    <w:rsid w:val="0038745C"/>
    <w:rsid w:val="003A60AC"/>
    <w:rsid w:val="003B335C"/>
    <w:rsid w:val="003C0E01"/>
    <w:rsid w:val="003F044B"/>
    <w:rsid w:val="003F2178"/>
    <w:rsid w:val="0040146D"/>
    <w:rsid w:val="00403D91"/>
    <w:rsid w:val="00426910"/>
    <w:rsid w:val="00430467"/>
    <w:rsid w:val="0044449E"/>
    <w:rsid w:val="004607ED"/>
    <w:rsid w:val="00492BFE"/>
    <w:rsid w:val="004C7631"/>
    <w:rsid w:val="0051049C"/>
    <w:rsid w:val="00544E15"/>
    <w:rsid w:val="00560DE4"/>
    <w:rsid w:val="005B0D59"/>
    <w:rsid w:val="005C1B08"/>
    <w:rsid w:val="005E1A70"/>
    <w:rsid w:val="005E7BAC"/>
    <w:rsid w:val="006173D9"/>
    <w:rsid w:val="00646222"/>
    <w:rsid w:val="00657911"/>
    <w:rsid w:val="0066717C"/>
    <w:rsid w:val="00675F99"/>
    <w:rsid w:val="00677124"/>
    <w:rsid w:val="006953B8"/>
    <w:rsid w:val="00696C1B"/>
    <w:rsid w:val="006B1C6D"/>
    <w:rsid w:val="006E005E"/>
    <w:rsid w:val="00717B6B"/>
    <w:rsid w:val="00745522"/>
    <w:rsid w:val="007E23CC"/>
    <w:rsid w:val="008413F3"/>
    <w:rsid w:val="00863549"/>
    <w:rsid w:val="00873BC0"/>
    <w:rsid w:val="00893748"/>
    <w:rsid w:val="008E0EC3"/>
    <w:rsid w:val="00916592"/>
    <w:rsid w:val="00945168"/>
    <w:rsid w:val="009769BE"/>
    <w:rsid w:val="009C100B"/>
    <w:rsid w:val="009D1E42"/>
    <w:rsid w:val="009E6465"/>
    <w:rsid w:val="00B21551"/>
    <w:rsid w:val="00B454B7"/>
    <w:rsid w:val="00B51705"/>
    <w:rsid w:val="00B9150C"/>
    <w:rsid w:val="00BB49C5"/>
    <w:rsid w:val="00BD04FE"/>
    <w:rsid w:val="00C06670"/>
    <w:rsid w:val="00C222FD"/>
    <w:rsid w:val="00C433DE"/>
    <w:rsid w:val="00C51816"/>
    <w:rsid w:val="00C61C9F"/>
    <w:rsid w:val="00C663C4"/>
    <w:rsid w:val="00C6658A"/>
    <w:rsid w:val="00C76389"/>
    <w:rsid w:val="00CD6814"/>
    <w:rsid w:val="00CE616F"/>
    <w:rsid w:val="00CF4D58"/>
    <w:rsid w:val="00D02D4A"/>
    <w:rsid w:val="00D60400"/>
    <w:rsid w:val="00DC5852"/>
    <w:rsid w:val="00DF415B"/>
    <w:rsid w:val="00E01E8D"/>
    <w:rsid w:val="00E142DC"/>
    <w:rsid w:val="00EB4D8D"/>
    <w:rsid w:val="00EC22DC"/>
    <w:rsid w:val="00EE5360"/>
    <w:rsid w:val="00EF4E11"/>
    <w:rsid w:val="00F16277"/>
    <w:rsid w:val="00F32306"/>
    <w:rsid w:val="00F97586"/>
    <w:rsid w:val="00FA322F"/>
    <w:rsid w:val="00FC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EF98"/>
  <w15:chartTrackingRefBased/>
  <w15:docId w15:val="{D418E5CE-D880-40F9-AD79-4F448566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9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7BAC"/>
    <w:rPr>
      <w:color w:val="0000FF"/>
      <w:u w:val="single"/>
    </w:rPr>
  </w:style>
  <w:style w:type="paragraph" w:customStyle="1" w:styleId="Default">
    <w:name w:val="Default"/>
    <w:uiPriority w:val="99"/>
    <w:rsid w:val="005E7BA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E7BAC"/>
    <w:pPr>
      <w:ind w:left="720"/>
      <w:contextualSpacing/>
    </w:pPr>
  </w:style>
  <w:style w:type="character" w:styleId="FollowedHyperlink">
    <w:name w:val="FollowedHyperlink"/>
    <w:basedOn w:val="DefaultParagraphFont"/>
    <w:uiPriority w:val="99"/>
    <w:semiHidden/>
    <w:unhideWhenUsed/>
    <w:rsid w:val="00105611"/>
    <w:rPr>
      <w:color w:val="954F72" w:themeColor="followedHyperlink"/>
      <w:u w:val="single"/>
    </w:rPr>
  </w:style>
  <w:style w:type="character" w:styleId="UnresolvedMention">
    <w:name w:val="Unresolved Mention"/>
    <w:basedOn w:val="DefaultParagraphFont"/>
    <w:uiPriority w:val="99"/>
    <w:semiHidden/>
    <w:unhideWhenUsed/>
    <w:rsid w:val="00BD04FE"/>
    <w:rPr>
      <w:color w:val="605E5C"/>
      <w:shd w:val="clear" w:color="auto" w:fill="E1DFDD"/>
    </w:rPr>
  </w:style>
  <w:style w:type="paragraph" w:styleId="NormalWeb">
    <w:name w:val="Normal (Web)"/>
    <w:basedOn w:val="Normal"/>
    <w:uiPriority w:val="99"/>
    <w:semiHidden/>
    <w:unhideWhenUsed/>
    <w:rsid w:val="009E6465"/>
    <w:pPr>
      <w:widowControl/>
      <w:spacing w:before="100" w:beforeAutospacing="1" w:after="100" w:afterAutospacing="1"/>
    </w:pPr>
    <w:rPr>
      <w:snapToGrid/>
      <w:szCs w:val="24"/>
    </w:rPr>
  </w:style>
  <w:style w:type="character" w:styleId="Strong">
    <w:name w:val="Strong"/>
    <w:basedOn w:val="DefaultParagraphFont"/>
    <w:uiPriority w:val="22"/>
    <w:qFormat/>
    <w:rsid w:val="0040146D"/>
    <w:rPr>
      <w:b/>
      <w:bCs/>
    </w:rPr>
  </w:style>
  <w:style w:type="paragraph" w:styleId="Revision">
    <w:name w:val="Revision"/>
    <w:hidden/>
    <w:uiPriority w:val="99"/>
    <w:semiHidden/>
    <w:rsid w:val="00B454B7"/>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3463D1"/>
    <w:rPr>
      <w:sz w:val="16"/>
      <w:szCs w:val="16"/>
    </w:rPr>
  </w:style>
  <w:style w:type="paragraph" w:styleId="CommentText">
    <w:name w:val="annotation text"/>
    <w:basedOn w:val="Normal"/>
    <w:link w:val="CommentTextChar"/>
    <w:uiPriority w:val="99"/>
    <w:semiHidden/>
    <w:unhideWhenUsed/>
    <w:rsid w:val="003463D1"/>
    <w:rPr>
      <w:sz w:val="20"/>
    </w:rPr>
  </w:style>
  <w:style w:type="character" w:customStyle="1" w:styleId="CommentTextChar">
    <w:name w:val="Comment Text Char"/>
    <w:basedOn w:val="DefaultParagraphFont"/>
    <w:link w:val="CommentText"/>
    <w:uiPriority w:val="99"/>
    <w:semiHidden/>
    <w:rsid w:val="003463D1"/>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463D1"/>
    <w:rPr>
      <w:b/>
      <w:bCs/>
    </w:rPr>
  </w:style>
  <w:style w:type="character" w:customStyle="1" w:styleId="CommentSubjectChar">
    <w:name w:val="Comment Subject Char"/>
    <w:basedOn w:val="CommentTextChar"/>
    <w:link w:val="CommentSubject"/>
    <w:uiPriority w:val="99"/>
    <w:semiHidden/>
    <w:rsid w:val="003463D1"/>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6174">
      <w:bodyDiv w:val="1"/>
      <w:marLeft w:val="0"/>
      <w:marRight w:val="0"/>
      <w:marTop w:val="0"/>
      <w:marBottom w:val="0"/>
      <w:divBdr>
        <w:top w:val="none" w:sz="0" w:space="0" w:color="auto"/>
        <w:left w:val="none" w:sz="0" w:space="0" w:color="auto"/>
        <w:bottom w:val="none" w:sz="0" w:space="0" w:color="auto"/>
        <w:right w:val="none" w:sz="0" w:space="0" w:color="auto"/>
      </w:divBdr>
    </w:div>
    <w:div w:id="424690523">
      <w:bodyDiv w:val="1"/>
      <w:marLeft w:val="0"/>
      <w:marRight w:val="0"/>
      <w:marTop w:val="0"/>
      <w:marBottom w:val="0"/>
      <w:divBdr>
        <w:top w:val="none" w:sz="0" w:space="0" w:color="auto"/>
        <w:left w:val="none" w:sz="0" w:space="0" w:color="auto"/>
        <w:bottom w:val="none" w:sz="0" w:space="0" w:color="auto"/>
        <w:right w:val="none" w:sz="0" w:space="0" w:color="auto"/>
      </w:divBdr>
    </w:div>
    <w:div w:id="438718470">
      <w:bodyDiv w:val="1"/>
      <w:marLeft w:val="0"/>
      <w:marRight w:val="0"/>
      <w:marTop w:val="0"/>
      <w:marBottom w:val="0"/>
      <w:divBdr>
        <w:top w:val="none" w:sz="0" w:space="0" w:color="auto"/>
        <w:left w:val="none" w:sz="0" w:space="0" w:color="auto"/>
        <w:bottom w:val="none" w:sz="0" w:space="0" w:color="auto"/>
        <w:right w:val="none" w:sz="0" w:space="0" w:color="auto"/>
      </w:divBdr>
    </w:div>
    <w:div w:id="544754757">
      <w:bodyDiv w:val="1"/>
      <w:marLeft w:val="0"/>
      <w:marRight w:val="0"/>
      <w:marTop w:val="0"/>
      <w:marBottom w:val="0"/>
      <w:divBdr>
        <w:top w:val="none" w:sz="0" w:space="0" w:color="auto"/>
        <w:left w:val="none" w:sz="0" w:space="0" w:color="auto"/>
        <w:bottom w:val="none" w:sz="0" w:space="0" w:color="auto"/>
        <w:right w:val="none" w:sz="0" w:space="0" w:color="auto"/>
      </w:divBdr>
    </w:div>
    <w:div w:id="709576513">
      <w:bodyDiv w:val="1"/>
      <w:marLeft w:val="0"/>
      <w:marRight w:val="0"/>
      <w:marTop w:val="0"/>
      <w:marBottom w:val="0"/>
      <w:divBdr>
        <w:top w:val="none" w:sz="0" w:space="0" w:color="auto"/>
        <w:left w:val="none" w:sz="0" w:space="0" w:color="auto"/>
        <w:bottom w:val="none" w:sz="0" w:space="0" w:color="auto"/>
        <w:right w:val="none" w:sz="0" w:space="0" w:color="auto"/>
      </w:divBdr>
    </w:div>
    <w:div w:id="767044339">
      <w:bodyDiv w:val="1"/>
      <w:marLeft w:val="0"/>
      <w:marRight w:val="0"/>
      <w:marTop w:val="0"/>
      <w:marBottom w:val="0"/>
      <w:divBdr>
        <w:top w:val="none" w:sz="0" w:space="0" w:color="auto"/>
        <w:left w:val="none" w:sz="0" w:space="0" w:color="auto"/>
        <w:bottom w:val="none" w:sz="0" w:space="0" w:color="auto"/>
        <w:right w:val="none" w:sz="0" w:space="0" w:color="auto"/>
      </w:divBdr>
    </w:div>
    <w:div w:id="1746686058">
      <w:bodyDiv w:val="1"/>
      <w:marLeft w:val="0"/>
      <w:marRight w:val="0"/>
      <w:marTop w:val="0"/>
      <w:marBottom w:val="0"/>
      <w:divBdr>
        <w:top w:val="none" w:sz="0" w:space="0" w:color="auto"/>
        <w:left w:val="none" w:sz="0" w:space="0" w:color="auto"/>
        <w:bottom w:val="none" w:sz="0" w:space="0" w:color="auto"/>
        <w:right w:val="none" w:sz="0" w:space="0" w:color="auto"/>
      </w:divBdr>
    </w:div>
    <w:div w:id="18703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tel:608-232-5773"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file:///Volumes/Art-Edit/ICBA/1196%20-%20Dec%2022/EDIT/%20COPY/02%20Tracked%20changes/gfrangos@almaban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irstbusiness.bank"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rsvicknair@fgb.net" TargetMode="External"/><Relationship Id="rId5" Type="http://schemas.openxmlformats.org/officeDocument/2006/relationships/comments" Target="comments.xml"/><Relationship Id="rId15" Type="http://schemas.openxmlformats.org/officeDocument/2006/relationships/hyperlink" Target="mailto:jbraico@firstbusiness.bank" TargetMode="External"/><Relationship Id="rId10" Type="http://schemas.openxmlformats.org/officeDocument/2006/relationships/hyperlink" Target="https://www.fanniemae.com/media/44611/displ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rstbusiness.bank/representatives/seiler-dave/" TargetMode="External"/><Relationship Id="rId14" Type="http://schemas.openxmlformats.org/officeDocument/2006/relationships/hyperlink" Target="tel:608-239-9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Mattson-Teig</dc:creator>
  <cp:keywords/>
  <dc:description/>
  <cp:lastModifiedBy>Rachel Hatcher</cp:lastModifiedBy>
  <cp:revision>5</cp:revision>
  <cp:lastPrinted>2022-09-22T19:56:00Z</cp:lastPrinted>
  <dcterms:created xsi:type="dcterms:W3CDTF">2022-10-12T20:27:00Z</dcterms:created>
  <dcterms:modified xsi:type="dcterms:W3CDTF">2022-10-12T20:42:00Z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b98560c94c9609c8fbf8b3b7b94991428d4c81f1db63cce4ffe7e3f0e8f49346</vt:lpwstr>
  </property>
</Properties>
</file>