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29F19" w14:textId="09A2DAC4" w:rsidR="00DB2D54" w:rsidRPr="0021502B" w:rsidRDefault="00DB2D54">
      <w:pPr>
        <w:rPr>
          <w:rFonts w:ascii="Times New Roman" w:hAnsi="Times New Roman" w:cs="Times New Roman"/>
          <w:sz w:val="24"/>
          <w:szCs w:val="24"/>
        </w:rPr>
      </w:pPr>
      <w:r w:rsidRPr="0021502B">
        <w:rPr>
          <w:rFonts w:ascii="Times New Roman" w:hAnsi="Times New Roman" w:cs="Times New Roman"/>
          <w:sz w:val="24"/>
          <w:szCs w:val="24"/>
        </w:rPr>
        <w:t>Independent Baker</w:t>
      </w:r>
    </w:p>
    <w:p w14:paraId="47AF59F5" w14:textId="7F619B78" w:rsidR="00DB2D54" w:rsidRPr="0021502B" w:rsidRDefault="00DB2D54">
      <w:pPr>
        <w:rPr>
          <w:rFonts w:ascii="Times New Roman" w:hAnsi="Times New Roman" w:cs="Times New Roman"/>
          <w:sz w:val="24"/>
          <w:szCs w:val="24"/>
        </w:rPr>
      </w:pPr>
      <w:r w:rsidRPr="0021502B">
        <w:rPr>
          <w:rFonts w:ascii="Times New Roman" w:hAnsi="Times New Roman" w:cs="Times New Roman"/>
          <w:sz w:val="24"/>
          <w:szCs w:val="24"/>
        </w:rPr>
        <w:t>November 2022</w:t>
      </w:r>
    </w:p>
    <w:p w14:paraId="5E96574F" w14:textId="18E67058" w:rsidR="00DB2D54" w:rsidRPr="0021502B" w:rsidRDefault="00DB2D54">
      <w:pPr>
        <w:rPr>
          <w:rFonts w:ascii="Times New Roman" w:hAnsi="Times New Roman" w:cs="Times New Roman"/>
          <w:sz w:val="24"/>
          <w:szCs w:val="24"/>
        </w:rPr>
      </w:pPr>
      <w:r w:rsidRPr="0021502B">
        <w:rPr>
          <w:rFonts w:ascii="Times New Roman" w:hAnsi="Times New Roman" w:cs="Times New Roman"/>
          <w:sz w:val="24"/>
          <w:szCs w:val="24"/>
        </w:rPr>
        <w:t>Connections</w:t>
      </w:r>
    </w:p>
    <w:p w14:paraId="5B70ADAB" w14:textId="0CC360D3" w:rsidR="00DB2D54" w:rsidRPr="0021502B" w:rsidRDefault="00DB2D54">
      <w:pPr>
        <w:rPr>
          <w:rFonts w:ascii="Times New Roman" w:hAnsi="Times New Roman" w:cs="Times New Roman"/>
          <w:sz w:val="24"/>
          <w:szCs w:val="24"/>
        </w:rPr>
      </w:pPr>
    </w:p>
    <w:p w14:paraId="3C10ABA7" w14:textId="1B84B612" w:rsidR="00DB2D54" w:rsidRPr="0021502B" w:rsidRDefault="00DB2D54">
      <w:pPr>
        <w:rPr>
          <w:rFonts w:ascii="Times New Roman" w:hAnsi="Times New Roman" w:cs="Times New Roman"/>
          <w:sz w:val="24"/>
          <w:szCs w:val="24"/>
        </w:rPr>
      </w:pPr>
      <w:r w:rsidRPr="0021502B">
        <w:rPr>
          <w:rFonts w:ascii="Times New Roman" w:hAnsi="Times New Roman" w:cs="Times New Roman"/>
          <w:sz w:val="24"/>
          <w:szCs w:val="24"/>
        </w:rPr>
        <w:t>[tag] Checks &amp; Balances</w:t>
      </w:r>
    </w:p>
    <w:p w14:paraId="2C695B44" w14:textId="77777777" w:rsidR="00DB2D54" w:rsidRPr="0021502B" w:rsidRDefault="00DB2D54">
      <w:pPr>
        <w:rPr>
          <w:rFonts w:ascii="Times New Roman" w:hAnsi="Times New Roman" w:cs="Times New Roman"/>
          <w:sz w:val="24"/>
          <w:szCs w:val="24"/>
        </w:rPr>
      </w:pPr>
    </w:p>
    <w:p w14:paraId="5F85B290" w14:textId="3A9CDDC6" w:rsidR="00A423C9" w:rsidRPr="0021502B" w:rsidRDefault="00DB2D54">
      <w:pPr>
        <w:rPr>
          <w:rFonts w:ascii="Times New Roman" w:hAnsi="Times New Roman" w:cs="Times New Roman"/>
          <w:sz w:val="24"/>
          <w:szCs w:val="24"/>
        </w:rPr>
      </w:pPr>
      <w:r w:rsidRPr="0021502B">
        <w:rPr>
          <w:rFonts w:ascii="Times New Roman" w:hAnsi="Times New Roman" w:cs="Times New Roman"/>
          <w:sz w:val="24"/>
          <w:szCs w:val="24"/>
        </w:rPr>
        <w:t xml:space="preserve">[hed] </w:t>
      </w:r>
      <w:r w:rsidR="00396611" w:rsidRPr="0021502B">
        <w:rPr>
          <w:rFonts w:ascii="Times New Roman" w:hAnsi="Times New Roman" w:cs="Times New Roman"/>
          <w:sz w:val="24"/>
          <w:szCs w:val="24"/>
        </w:rPr>
        <w:t xml:space="preserve">ICBA to CFPB: Nobody </w:t>
      </w:r>
      <w:r w:rsidR="00EC07E1">
        <w:rPr>
          <w:rFonts w:ascii="Times New Roman" w:hAnsi="Times New Roman" w:cs="Times New Roman"/>
          <w:sz w:val="24"/>
          <w:szCs w:val="24"/>
        </w:rPr>
        <w:t>s</w:t>
      </w:r>
      <w:r w:rsidR="00396611" w:rsidRPr="0021502B">
        <w:rPr>
          <w:rFonts w:ascii="Times New Roman" w:hAnsi="Times New Roman" w:cs="Times New Roman"/>
          <w:sz w:val="24"/>
          <w:szCs w:val="24"/>
        </w:rPr>
        <w:t xml:space="preserve">erves </w:t>
      </w:r>
      <w:r w:rsidR="00EC07E1">
        <w:rPr>
          <w:rFonts w:ascii="Times New Roman" w:hAnsi="Times New Roman" w:cs="Times New Roman"/>
          <w:sz w:val="24"/>
          <w:szCs w:val="24"/>
        </w:rPr>
        <w:t>r</w:t>
      </w:r>
      <w:r w:rsidR="00396611" w:rsidRPr="0021502B">
        <w:rPr>
          <w:rFonts w:ascii="Times New Roman" w:hAnsi="Times New Roman" w:cs="Times New Roman"/>
          <w:sz w:val="24"/>
          <w:szCs w:val="24"/>
        </w:rPr>
        <w:t xml:space="preserve">ural America </w:t>
      </w:r>
      <w:r w:rsidR="00EC07E1">
        <w:rPr>
          <w:rFonts w:ascii="Times New Roman" w:hAnsi="Times New Roman" w:cs="Times New Roman"/>
          <w:sz w:val="24"/>
          <w:szCs w:val="24"/>
        </w:rPr>
        <w:t>b</w:t>
      </w:r>
      <w:r w:rsidR="00396611" w:rsidRPr="0021502B">
        <w:rPr>
          <w:rFonts w:ascii="Times New Roman" w:hAnsi="Times New Roman" w:cs="Times New Roman"/>
          <w:sz w:val="24"/>
          <w:szCs w:val="24"/>
        </w:rPr>
        <w:t xml:space="preserve">etter than </w:t>
      </w:r>
      <w:r w:rsidR="00EC07E1">
        <w:rPr>
          <w:rFonts w:ascii="Times New Roman" w:hAnsi="Times New Roman" w:cs="Times New Roman"/>
          <w:sz w:val="24"/>
          <w:szCs w:val="24"/>
        </w:rPr>
        <w:t>c</w:t>
      </w:r>
      <w:r w:rsidR="00396611" w:rsidRPr="0021502B">
        <w:rPr>
          <w:rFonts w:ascii="Times New Roman" w:hAnsi="Times New Roman" w:cs="Times New Roman"/>
          <w:sz w:val="24"/>
          <w:szCs w:val="24"/>
        </w:rPr>
        <w:t xml:space="preserve">ommunity </w:t>
      </w:r>
      <w:r w:rsidR="00EC07E1">
        <w:rPr>
          <w:rFonts w:ascii="Times New Roman" w:hAnsi="Times New Roman" w:cs="Times New Roman"/>
          <w:sz w:val="24"/>
          <w:szCs w:val="24"/>
        </w:rPr>
        <w:t>b</w:t>
      </w:r>
      <w:r w:rsidR="00396611" w:rsidRPr="0021502B">
        <w:rPr>
          <w:rFonts w:ascii="Times New Roman" w:hAnsi="Times New Roman" w:cs="Times New Roman"/>
          <w:sz w:val="24"/>
          <w:szCs w:val="24"/>
        </w:rPr>
        <w:t>anks</w:t>
      </w:r>
    </w:p>
    <w:p w14:paraId="196C606A" w14:textId="77777777" w:rsidR="00DB2D54" w:rsidRPr="0021502B" w:rsidRDefault="00DB2D54">
      <w:pPr>
        <w:rPr>
          <w:rFonts w:ascii="Times New Roman" w:hAnsi="Times New Roman" w:cs="Times New Roman"/>
          <w:sz w:val="24"/>
          <w:szCs w:val="24"/>
        </w:rPr>
      </w:pPr>
    </w:p>
    <w:p w14:paraId="69CC69BD" w14:textId="7784D356" w:rsidR="00F93D3F" w:rsidRPr="0021502B" w:rsidRDefault="00DB2D54">
      <w:pPr>
        <w:rPr>
          <w:rFonts w:ascii="Times New Roman" w:hAnsi="Times New Roman" w:cs="Times New Roman"/>
          <w:sz w:val="24"/>
          <w:szCs w:val="24"/>
        </w:rPr>
      </w:pPr>
      <w:r w:rsidRPr="0021502B">
        <w:rPr>
          <w:rFonts w:ascii="Times New Roman" w:hAnsi="Times New Roman" w:cs="Times New Roman"/>
          <w:sz w:val="24"/>
          <w:szCs w:val="24"/>
        </w:rPr>
        <w:t xml:space="preserve">[byline] </w:t>
      </w:r>
      <w:r w:rsidR="00F93D3F" w:rsidRPr="0021502B">
        <w:rPr>
          <w:rFonts w:ascii="Times New Roman" w:hAnsi="Times New Roman" w:cs="Times New Roman"/>
          <w:sz w:val="24"/>
          <w:szCs w:val="24"/>
        </w:rPr>
        <w:t>By Mark Scanlan</w:t>
      </w:r>
      <w:r w:rsidR="00EC07E1">
        <w:rPr>
          <w:rFonts w:ascii="Times New Roman" w:hAnsi="Times New Roman" w:cs="Times New Roman"/>
          <w:sz w:val="24"/>
          <w:szCs w:val="24"/>
        </w:rPr>
        <w:t>, ICBA</w:t>
      </w:r>
    </w:p>
    <w:p w14:paraId="4DF492D7" w14:textId="2B4E3CD9" w:rsidR="00DB2D54" w:rsidRPr="0021502B" w:rsidRDefault="00DB2D54">
      <w:pPr>
        <w:rPr>
          <w:rFonts w:ascii="Times New Roman" w:hAnsi="Times New Roman" w:cs="Times New Roman"/>
          <w:sz w:val="24"/>
          <w:szCs w:val="24"/>
        </w:rPr>
      </w:pPr>
    </w:p>
    <w:p w14:paraId="738126B2" w14:textId="2CCD023A" w:rsidR="00DB2D54" w:rsidRPr="0021502B" w:rsidRDefault="00DB2D54">
      <w:pPr>
        <w:rPr>
          <w:rFonts w:ascii="Times New Roman" w:hAnsi="Times New Roman" w:cs="Times New Roman"/>
          <w:sz w:val="24"/>
          <w:szCs w:val="24"/>
        </w:rPr>
      </w:pPr>
      <w:r w:rsidRPr="0021502B">
        <w:rPr>
          <w:rFonts w:ascii="Times New Roman" w:hAnsi="Times New Roman" w:cs="Times New Roman"/>
          <w:sz w:val="24"/>
          <w:szCs w:val="24"/>
        </w:rPr>
        <w:t>[body]</w:t>
      </w:r>
    </w:p>
    <w:p w14:paraId="1C8AE8B9" w14:textId="2EF4D643" w:rsidR="00396611" w:rsidRPr="0021502B" w:rsidRDefault="00602BCC">
      <w:pPr>
        <w:rPr>
          <w:rFonts w:ascii="Times New Roman" w:hAnsi="Times New Roman" w:cs="Times New Roman"/>
          <w:sz w:val="24"/>
          <w:szCs w:val="24"/>
        </w:rPr>
      </w:pPr>
      <w:r w:rsidRPr="0021502B">
        <w:rPr>
          <w:rFonts w:ascii="Times New Roman" w:hAnsi="Times New Roman" w:cs="Times New Roman"/>
          <w:sz w:val="24"/>
          <w:szCs w:val="24"/>
        </w:rPr>
        <w:t xml:space="preserve">Since the Consumer Financial Protection Bureau (CFPB) turned its attention to </w:t>
      </w:r>
      <w:r w:rsidR="006966B4" w:rsidRPr="0021502B">
        <w:rPr>
          <w:rFonts w:ascii="Times New Roman" w:hAnsi="Times New Roman" w:cs="Times New Roman"/>
          <w:sz w:val="24"/>
          <w:szCs w:val="24"/>
        </w:rPr>
        <w:t xml:space="preserve">the financial challenges facing rural communities earlier this year, ICBA has been working diligently to engage with and educate the </w:t>
      </w:r>
      <w:r w:rsidR="00186598">
        <w:rPr>
          <w:rFonts w:ascii="Times New Roman" w:hAnsi="Times New Roman" w:cs="Times New Roman"/>
          <w:sz w:val="24"/>
          <w:szCs w:val="24"/>
        </w:rPr>
        <w:t>b</w:t>
      </w:r>
      <w:r w:rsidR="00186598" w:rsidRPr="0021502B">
        <w:rPr>
          <w:rFonts w:ascii="Times New Roman" w:hAnsi="Times New Roman" w:cs="Times New Roman"/>
          <w:sz w:val="24"/>
          <w:szCs w:val="24"/>
        </w:rPr>
        <w:t xml:space="preserve">ureau </w:t>
      </w:r>
      <w:r w:rsidR="006966B4" w:rsidRPr="0021502B">
        <w:rPr>
          <w:rFonts w:ascii="Times New Roman" w:hAnsi="Times New Roman" w:cs="Times New Roman"/>
          <w:sz w:val="24"/>
          <w:szCs w:val="24"/>
        </w:rPr>
        <w:t xml:space="preserve">on the special role community banks play in keeping </w:t>
      </w:r>
      <w:r w:rsidR="0031069B" w:rsidRPr="0021502B">
        <w:rPr>
          <w:rFonts w:ascii="Times New Roman" w:hAnsi="Times New Roman" w:cs="Times New Roman"/>
          <w:sz w:val="24"/>
          <w:szCs w:val="24"/>
        </w:rPr>
        <w:t>rural communities strong and viable.</w:t>
      </w:r>
    </w:p>
    <w:p w14:paraId="7D8623FE" w14:textId="222EB39E" w:rsidR="00B035A8" w:rsidRPr="0021502B" w:rsidRDefault="00CC0F3E">
      <w:pPr>
        <w:rPr>
          <w:rFonts w:ascii="Times New Roman" w:hAnsi="Times New Roman" w:cs="Times New Roman"/>
          <w:sz w:val="24"/>
          <w:szCs w:val="24"/>
        </w:rPr>
      </w:pPr>
      <w:r w:rsidRPr="0021502B">
        <w:rPr>
          <w:rFonts w:ascii="Times New Roman" w:hAnsi="Times New Roman" w:cs="Times New Roman"/>
          <w:sz w:val="24"/>
          <w:szCs w:val="24"/>
        </w:rPr>
        <w:t xml:space="preserve">Since the CFPB </w:t>
      </w:r>
      <w:r w:rsidR="00AB6DCA" w:rsidRPr="0021502B">
        <w:rPr>
          <w:rFonts w:ascii="Times New Roman" w:hAnsi="Times New Roman" w:cs="Times New Roman"/>
          <w:sz w:val="24"/>
          <w:szCs w:val="24"/>
        </w:rPr>
        <w:t>firs</w:t>
      </w:r>
      <w:r w:rsidR="00BE5D82" w:rsidRPr="0021502B">
        <w:rPr>
          <w:rFonts w:ascii="Times New Roman" w:hAnsi="Times New Roman" w:cs="Times New Roman"/>
          <w:sz w:val="24"/>
          <w:szCs w:val="24"/>
        </w:rPr>
        <w:t>t</w:t>
      </w:r>
      <w:r w:rsidR="00AB6DCA" w:rsidRPr="0021502B">
        <w:rPr>
          <w:rFonts w:ascii="Times New Roman" w:hAnsi="Times New Roman" w:cs="Times New Roman"/>
          <w:sz w:val="24"/>
          <w:szCs w:val="24"/>
        </w:rPr>
        <w:t xml:space="preserve"> publicized its interest in </w:t>
      </w:r>
      <w:r w:rsidR="00AD4B2F" w:rsidRPr="0021502B">
        <w:rPr>
          <w:rFonts w:ascii="Times New Roman" w:hAnsi="Times New Roman" w:cs="Times New Roman"/>
          <w:sz w:val="24"/>
          <w:szCs w:val="24"/>
        </w:rPr>
        <w:t>the topic in March</w:t>
      </w:r>
      <w:r w:rsidR="009A5C67" w:rsidRPr="0021502B">
        <w:rPr>
          <w:rFonts w:ascii="Times New Roman" w:hAnsi="Times New Roman" w:cs="Times New Roman"/>
          <w:sz w:val="24"/>
          <w:szCs w:val="24"/>
        </w:rPr>
        <w:t xml:space="preserve"> 2022</w:t>
      </w:r>
      <w:r w:rsidR="00AD4B2F" w:rsidRPr="0021502B">
        <w:rPr>
          <w:rFonts w:ascii="Times New Roman" w:hAnsi="Times New Roman" w:cs="Times New Roman"/>
          <w:sz w:val="24"/>
          <w:szCs w:val="24"/>
        </w:rPr>
        <w:t xml:space="preserve">, ICBA has </w:t>
      </w:r>
      <w:r w:rsidR="009A5C67" w:rsidRPr="0021502B">
        <w:rPr>
          <w:rFonts w:ascii="Times New Roman" w:hAnsi="Times New Roman" w:cs="Times New Roman"/>
          <w:sz w:val="24"/>
          <w:szCs w:val="24"/>
        </w:rPr>
        <w:t>engag</w:t>
      </w:r>
      <w:r w:rsidR="000D72D1" w:rsidRPr="0021502B">
        <w:rPr>
          <w:rFonts w:ascii="Times New Roman" w:hAnsi="Times New Roman" w:cs="Times New Roman"/>
          <w:sz w:val="24"/>
          <w:szCs w:val="24"/>
        </w:rPr>
        <w:t>ed</w:t>
      </w:r>
      <w:r w:rsidR="00990040" w:rsidRPr="0021502B">
        <w:rPr>
          <w:rFonts w:ascii="Times New Roman" w:hAnsi="Times New Roman" w:cs="Times New Roman"/>
          <w:sz w:val="24"/>
          <w:szCs w:val="24"/>
        </w:rPr>
        <w:t xml:space="preserve"> with the CFPB, identifying the root causes </w:t>
      </w:r>
      <w:r w:rsidR="009613D8" w:rsidRPr="0021502B">
        <w:rPr>
          <w:rFonts w:ascii="Times New Roman" w:hAnsi="Times New Roman" w:cs="Times New Roman"/>
          <w:sz w:val="24"/>
          <w:szCs w:val="24"/>
        </w:rPr>
        <w:t>and ways to alleviate</w:t>
      </w:r>
      <w:r w:rsidR="00990040" w:rsidRPr="0021502B">
        <w:rPr>
          <w:rFonts w:ascii="Times New Roman" w:hAnsi="Times New Roman" w:cs="Times New Roman"/>
          <w:sz w:val="24"/>
          <w:szCs w:val="24"/>
        </w:rPr>
        <w:t xml:space="preserve"> some </w:t>
      </w:r>
      <w:r w:rsidR="0040627C" w:rsidRPr="0021502B">
        <w:rPr>
          <w:rFonts w:ascii="Times New Roman" w:hAnsi="Times New Roman" w:cs="Times New Roman"/>
          <w:sz w:val="24"/>
          <w:szCs w:val="24"/>
        </w:rPr>
        <w:t>issues</w:t>
      </w:r>
      <w:r w:rsidR="00990040" w:rsidRPr="0021502B">
        <w:rPr>
          <w:rFonts w:ascii="Times New Roman" w:hAnsi="Times New Roman" w:cs="Times New Roman"/>
          <w:sz w:val="24"/>
          <w:szCs w:val="24"/>
        </w:rPr>
        <w:t xml:space="preserve"> </w:t>
      </w:r>
      <w:r w:rsidR="00B81891" w:rsidRPr="0021502B">
        <w:rPr>
          <w:rFonts w:ascii="Times New Roman" w:hAnsi="Times New Roman" w:cs="Times New Roman"/>
          <w:sz w:val="24"/>
          <w:szCs w:val="24"/>
        </w:rPr>
        <w:t>while</w:t>
      </w:r>
      <w:r w:rsidR="00990040" w:rsidRPr="0021502B">
        <w:rPr>
          <w:rFonts w:ascii="Times New Roman" w:hAnsi="Times New Roman" w:cs="Times New Roman"/>
          <w:sz w:val="24"/>
          <w:szCs w:val="24"/>
        </w:rPr>
        <w:t xml:space="preserve"> challenging the</w:t>
      </w:r>
      <w:r w:rsidR="001F70A2" w:rsidRPr="0021502B">
        <w:rPr>
          <w:rFonts w:ascii="Times New Roman" w:hAnsi="Times New Roman" w:cs="Times New Roman"/>
          <w:sz w:val="24"/>
          <w:szCs w:val="24"/>
        </w:rPr>
        <w:t xml:space="preserve"> </w:t>
      </w:r>
      <w:r w:rsidR="00186598">
        <w:rPr>
          <w:rFonts w:ascii="Times New Roman" w:hAnsi="Times New Roman" w:cs="Times New Roman"/>
          <w:sz w:val="24"/>
          <w:szCs w:val="24"/>
        </w:rPr>
        <w:t>b</w:t>
      </w:r>
      <w:r w:rsidR="00186598" w:rsidRPr="0021502B">
        <w:rPr>
          <w:rFonts w:ascii="Times New Roman" w:hAnsi="Times New Roman" w:cs="Times New Roman"/>
          <w:sz w:val="24"/>
          <w:szCs w:val="24"/>
        </w:rPr>
        <w:t xml:space="preserve">ureau’s </w:t>
      </w:r>
      <w:r w:rsidR="00990040" w:rsidRPr="0021502B">
        <w:rPr>
          <w:rFonts w:ascii="Times New Roman" w:hAnsi="Times New Roman" w:cs="Times New Roman"/>
          <w:sz w:val="24"/>
          <w:szCs w:val="24"/>
        </w:rPr>
        <w:t xml:space="preserve">perception of others. </w:t>
      </w:r>
    </w:p>
    <w:p w14:paraId="6D4ED2B9" w14:textId="37932C1D" w:rsidR="00BB30EE" w:rsidRPr="0021502B" w:rsidRDefault="00990040">
      <w:pPr>
        <w:rPr>
          <w:rFonts w:ascii="Times New Roman" w:hAnsi="Times New Roman" w:cs="Times New Roman"/>
          <w:sz w:val="24"/>
          <w:szCs w:val="24"/>
        </w:rPr>
      </w:pPr>
      <w:r w:rsidRPr="0021502B">
        <w:rPr>
          <w:rFonts w:ascii="Times New Roman" w:hAnsi="Times New Roman" w:cs="Times New Roman"/>
          <w:sz w:val="24"/>
          <w:szCs w:val="24"/>
        </w:rPr>
        <w:t>T</w:t>
      </w:r>
      <w:r w:rsidR="00464FE4" w:rsidRPr="0021502B">
        <w:rPr>
          <w:rFonts w:ascii="Times New Roman" w:hAnsi="Times New Roman" w:cs="Times New Roman"/>
          <w:sz w:val="24"/>
          <w:szCs w:val="24"/>
        </w:rPr>
        <w:t xml:space="preserve">he </w:t>
      </w:r>
      <w:r w:rsidR="00186598">
        <w:rPr>
          <w:rFonts w:ascii="Times New Roman" w:hAnsi="Times New Roman" w:cs="Times New Roman"/>
          <w:sz w:val="24"/>
          <w:szCs w:val="24"/>
        </w:rPr>
        <w:t>b</w:t>
      </w:r>
      <w:r w:rsidR="00186598" w:rsidRPr="0021502B">
        <w:rPr>
          <w:rFonts w:ascii="Times New Roman" w:hAnsi="Times New Roman" w:cs="Times New Roman"/>
          <w:sz w:val="24"/>
          <w:szCs w:val="24"/>
        </w:rPr>
        <w:t xml:space="preserve">ureau </w:t>
      </w:r>
      <w:r w:rsidR="00464FE4" w:rsidRPr="0021502B">
        <w:rPr>
          <w:rFonts w:ascii="Times New Roman" w:hAnsi="Times New Roman" w:cs="Times New Roman"/>
          <w:sz w:val="24"/>
          <w:szCs w:val="24"/>
        </w:rPr>
        <w:t xml:space="preserve">has encouraged ICBA’s </w:t>
      </w:r>
      <w:r w:rsidR="001F70A2" w:rsidRPr="0021502B">
        <w:rPr>
          <w:rFonts w:ascii="Times New Roman" w:hAnsi="Times New Roman" w:cs="Times New Roman"/>
          <w:sz w:val="24"/>
          <w:szCs w:val="24"/>
        </w:rPr>
        <w:t xml:space="preserve">advocacy. In September, </w:t>
      </w:r>
      <w:r w:rsidR="00F4051B" w:rsidRPr="0021502B">
        <w:rPr>
          <w:rFonts w:ascii="Times New Roman" w:hAnsi="Times New Roman" w:cs="Times New Roman"/>
          <w:sz w:val="24"/>
          <w:szCs w:val="24"/>
        </w:rPr>
        <w:t xml:space="preserve">CFPB </w:t>
      </w:r>
      <w:r w:rsidR="003401B3">
        <w:rPr>
          <w:rFonts w:ascii="Times New Roman" w:hAnsi="Times New Roman" w:cs="Times New Roman"/>
          <w:sz w:val="24"/>
          <w:szCs w:val="24"/>
        </w:rPr>
        <w:t>d</w:t>
      </w:r>
      <w:r w:rsidR="00F4051B" w:rsidRPr="0021502B">
        <w:rPr>
          <w:rFonts w:ascii="Times New Roman" w:hAnsi="Times New Roman" w:cs="Times New Roman"/>
          <w:sz w:val="24"/>
          <w:szCs w:val="24"/>
        </w:rPr>
        <w:t>irector Rohit Chopra</w:t>
      </w:r>
      <w:r w:rsidR="001F70A2" w:rsidRPr="0021502B">
        <w:rPr>
          <w:rFonts w:ascii="Times New Roman" w:hAnsi="Times New Roman" w:cs="Times New Roman"/>
          <w:sz w:val="24"/>
          <w:szCs w:val="24"/>
        </w:rPr>
        <w:t xml:space="preserve"> welcomed</w:t>
      </w:r>
      <w:r w:rsidR="00B035A8" w:rsidRPr="0021502B">
        <w:rPr>
          <w:rFonts w:ascii="Times New Roman" w:hAnsi="Times New Roman" w:cs="Times New Roman"/>
          <w:sz w:val="24"/>
          <w:szCs w:val="24"/>
        </w:rPr>
        <w:t xml:space="preserve"> ICBA’s Agriculture-Rural </w:t>
      </w:r>
      <w:r w:rsidR="00861334" w:rsidRPr="0021502B">
        <w:rPr>
          <w:rFonts w:ascii="Times New Roman" w:hAnsi="Times New Roman" w:cs="Times New Roman"/>
          <w:sz w:val="24"/>
          <w:szCs w:val="24"/>
        </w:rPr>
        <w:t xml:space="preserve">committee, members of the executive committee and ICBA staff to a virtual meeting </w:t>
      </w:r>
      <w:r w:rsidR="00CE26B8" w:rsidRPr="0021502B">
        <w:rPr>
          <w:rFonts w:ascii="Times New Roman" w:hAnsi="Times New Roman" w:cs="Times New Roman"/>
          <w:sz w:val="24"/>
          <w:szCs w:val="24"/>
        </w:rPr>
        <w:t xml:space="preserve">about </w:t>
      </w:r>
      <w:r w:rsidR="00495B49" w:rsidRPr="0021502B">
        <w:rPr>
          <w:rFonts w:ascii="Times New Roman" w:hAnsi="Times New Roman" w:cs="Times New Roman"/>
          <w:sz w:val="24"/>
          <w:szCs w:val="24"/>
        </w:rPr>
        <w:t>the role independent community bank</w:t>
      </w:r>
      <w:r w:rsidR="00BB30EE" w:rsidRPr="0021502B">
        <w:rPr>
          <w:rFonts w:ascii="Times New Roman" w:hAnsi="Times New Roman" w:cs="Times New Roman"/>
          <w:sz w:val="24"/>
          <w:szCs w:val="24"/>
        </w:rPr>
        <w:t>s play i</w:t>
      </w:r>
      <w:r w:rsidR="00CE26B8" w:rsidRPr="0021502B">
        <w:rPr>
          <w:rFonts w:ascii="Times New Roman" w:hAnsi="Times New Roman" w:cs="Times New Roman"/>
          <w:sz w:val="24"/>
          <w:szCs w:val="24"/>
        </w:rPr>
        <w:t>n</w:t>
      </w:r>
      <w:r w:rsidR="00BB30EE" w:rsidRPr="0021502B">
        <w:rPr>
          <w:rFonts w:ascii="Times New Roman" w:hAnsi="Times New Roman" w:cs="Times New Roman"/>
          <w:sz w:val="24"/>
          <w:szCs w:val="24"/>
        </w:rPr>
        <w:t xml:space="preserve"> rural communities.</w:t>
      </w:r>
      <w:r w:rsidR="00FF0C31" w:rsidRPr="0021502B">
        <w:rPr>
          <w:rFonts w:ascii="Times New Roman" w:hAnsi="Times New Roman" w:cs="Times New Roman"/>
          <w:sz w:val="24"/>
          <w:szCs w:val="24"/>
        </w:rPr>
        <w:t xml:space="preserve"> </w:t>
      </w:r>
    </w:p>
    <w:p w14:paraId="215E7E71" w14:textId="77777777" w:rsidR="00583140" w:rsidRDefault="00583140" w:rsidP="00186598">
      <w:pPr>
        <w:rPr>
          <w:rFonts w:ascii="Times New Roman" w:hAnsi="Times New Roman" w:cs="Times New Roman"/>
          <w:sz w:val="24"/>
          <w:szCs w:val="24"/>
        </w:rPr>
      </w:pPr>
    </w:p>
    <w:p w14:paraId="725BC64E" w14:textId="14185764" w:rsidR="00583140" w:rsidRDefault="00583140" w:rsidP="00186598">
      <w:pPr>
        <w:rPr>
          <w:rFonts w:ascii="Times New Roman" w:hAnsi="Times New Roman" w:cs="Times New Roman"/>
          <w:b/>
          <w:bCs/>
          <w:sz w:val="24"/>
          <w:szCs w:val="24"/>
        </w:rPr>
      </w:pPr>
      <w:r>
        <w:rPr>
          <w:rFonts w:ascii="Times New Roman" w:hAnsi="Times New Roman" w:cs="Times New Roman"/>
          <w:sz w:val="24"/>
          <w:szCs w:val="24"/>
        </w:rPr>
        <w:t xml:space="preserve">[subhead] </w:t>
      </w:r>
      <w:r>
        <w:rPr>
          <w:rFonts w:ascii="Times New Roman" w:hAnsi="Times New Roman" w:cs="Times New Roman"/>
          <w:b/>
          <w:bCs/>
          <w:sz w:val="24"/>
          <w:szCs w:val="24"/>
        </w:rPr>
        <w:t>Key rural banking issues to tackle</w:t>
      </w:r>
    </w:p>
    <w:p w14:paraId="5164C3E6" w14:textId="49400FC2" w:rsidR="00583140" w:rsidRDefault="00583140" w:rsidP="00186598">
      <w:pPr>
        <w:rPr>
          <w:rFonts w:ascii="Times New Roman" w:hAnsi="Times New Roman" w:cs="Times New Roman"/>
          <w:sz w:val="24"/>
          <w:szCs w:val="24"/>
        </w:rPr>
      </w:pPr>
      <w:r w:rsidRPr="0021502B">
        <w:rPr>
          <w:rFonts w:ascii="Times New Roman" w:hAnsi="Times New Roman" w:cs="Times New Roman"/>
          <w:sz w:val="24"/>
          <w:szCs w:val="24"/>
        </w:rPr>
        <w:t xml:space="preserve">ICBA has followed up with letters </w:t>
      </w:r>
      <w:r>
        <w:rPr>
          <w:rFonts w:ascii="Times New Roman" w:hAnsi="Times New Roman" w:cs="Times New Roman"/>
          <w:sz w:val="24"/>
          <w:szCs w:val="24"/>
        </w:rPr>
        <w:t xml:space="preserve">to the CFPB </w:t>
      </w:r>
      <w:r w:rsidRPr="0021502B">
        <w:rPr>
          <w:rFonts w:ascii="Times New Roman" w:hAnsi="Times New Roman" w:cs="Times New Roman"/>
          <w:sz w:val="24"/>
          <w:szCs w:val="24"/>
        </w:rPr>
        <w:t>to underscore key issues</w:t>
      </w:r>
      <w:r>
        <w:rPr>
          <w:rFonts w:ascii="Times New Roman" w:hAnsi="Times New Roman" w:cs="Times New Roman"/>
          <w:sz w:val="24"/>
          <w:szCs w:val="24"/>
        </w:rPr>
        <w:t xml:space="preserve"> related to rural banking</w:t>
      </w:r>
      <w:r w:rsidRPr="0021502B">
        <w:rPr>
          <w:rFonts w:ascii="Times New Roman" w:hAnsi="Times New Roman" w:cs="Times New Roman"/>
          <w:sz w:val="24"/>
          <w:szCs w:val="24"/>
        </w:rPr>
        <w:t xml:space="preserve">.  </w:t>
      </w:r>
    </w:p>
    <w:p w14:paraId="7AFBEB52" w14:textId="561803EF" w:rsidR="00D14FCD" w:rsidRPr="00583140" w:rsidRDefault="00B5461E" w:rsidP="00186598">
      <w:pPr>
        <w:rPr>
          <w:rFonts w:ascii="Times New Roman" w:hAnsi="Times New Roman" w:cs="Times New Roman"/>
          <w:b/>
          <w:bCs/>
          <w:sz w:val="24"/>
          <w:szCs w:val="24"/>
        </w:rPr>
      </w:pPr>
      <w:r w:rsidRPr="00583140">
        <w:rPr>
          <w:rFonts w:ascii="Times New Roman" w:hAnsi="Times New Roman" w:cs="Times New Roman"/>
          <w:b/>
          <w:bCs/>
          <w:sz w:val="24"/>
          <w:szCs w:val="24"/>
        </w:rPr>
        <w:t xml:space="preserve">Partial exemption of community banks from 1071. </w:t>
      </w:r>
      <w:r w:rsidR="003D4F92" w:rsidRPr="00583140">
        <w:rPr>
          <w:rFonts w:ascii="Times New Roman" w:hAnsi="Times New Roman" w:cs="Times New Roman"/>
          <w:sz w:val="24"/>
          <w:szCs w:val="24"/>
        </w:rPr>
        <w:t>I</w:t>
      </w:r>
      <w:r w:rsidR="002F5CF6" w:rsidRPr="00583140">
        <w:rPr>
          <w:rFonts w:ascii="Times New Roman" w:hAnsi="Times New Roman" w:cs="Times New Roman"/>
          <w:sz w:val="24"/>
          <w:szCs w:val="24"/>
        </w:rPr>
        <w:t>CBA propose</w:t>
      </w:r>
      <w:r w:rsidR="003D4F92" w:rsidRPr="00583140">
        <w:rPr>
          <w:rFonts w:ascii="Times New Roman" w:hAnsi="Times New Roman" w:cs="Times New Roman"/>
          <w:sz w:val="24"/>
          <w:szCs w:val="24"/>
        </w:rPr>
        <w:t>s</w:t>
      </w:r>
      <w:r w:rsidR="002F5CF6" w:rsidRPr="00583140">
        <w:rPr>
          <w:rFonts w:ascii="Times New Roman" w:hAnsi="Times New Roman" w:cs="Times New Roman"/>
          <w:sz w:val="24"/>
          <w:szCs w:val="24"/>
        </w:rPr>
        <w:t xml:space="preserve"> exempting community banks</w:t>
      </w:r>
      <w:r w:rsidR="003401B3" w:rsidRPr="00583140">
        <w:rPr>
          <w:rFonts w:ascii="Times New Roman" w:hAnsi="Times New Roman" w:cs="Times New Roman"/>
          <w:sz w:val="24"/>
          <w:szCs w:val="24"/>
        </w:rPr>
        <w:t xml:space="preserve"> with total asset</w:t>
      </w:r>
      <w:r w:rsidR="00FB2511" w:rsidRPr="00583140">
        <w:rPr>
          <w:rFonts w:ascii="Times New Roman" w:hAnsi="Times New Roman" w:cs="Times New Roman"/>
          <w:sz w:val="24"/>
          <w:szCs w:val="24"/>
        </w:rPr>
        <w:t>s</w:t>
      </w:r>
      <w:r w:rsidR="002F5CF6" w:rsidRPr="00583140">
        <w:rPr>
          <w:rFonts w:ascii="Times New Roman" w:hAnsi="Times New Roman" w:cs="Times New Roman"/>
          <w:sz w:val="24"/>
          <w:szCs w:val="24"/>
        </w:rPr>
        <w:t xml:space="preserve"> </w:t>
      </w:r>
      <w:r w:rsidR="00186598" w:rsidRPr="00583140">
        <w:rPr>
          <w:rFonts w:ascii="Times New Roman" w:hAnsi="Times New Roman" w:cs="Times New Roman"/>
          <w:sz w:val="24"/>
          <w:szCs w:val="24"/>
        </w:rPr>
        <w:t xml:space="preserve">of less than </w:t>
      </w:r>
      <w:r w:rsidR="002F5CF6" w:rsidRPr="00583140">
        <w:rPr>
          <w:rFonts w:ascii="Times New Roman" w:hAnsi="Times New Roman" w:cs="Times New Roman"/>
          <w:sz w:val="24"/>
          <w:szCs w:val="24"/>
        </w:rPr>
        <w:t>$1.32 billion from section 1071 disclosures related to small business data collection</w:t>
      </w:r>
      <w:r w:rsidR="00DC3416" w:rsidRPr="00583140">
        <w:rPr>
          <w:rFonts w:ascii="Times New Roman" w:hAnsi="Times New Roman" w:cs="Times New Roman"/>
          <w:sz w:val="24"/>
          <w:szCs w:val="24"/>
        </w:rPr>
        <w:t>.</w:t>
      </w:r>
      <w:r w:rsidR="002F5CF6" w:rsidRPr="00583140">
        <w:rPr>
          <w:rFonts w:ascii="Times New Roman" w:hAnsi="Times New Roman" w:cs="Times New Roman"/>
          <w:sz w:val="24"/>
          <w:szCs w:val="24"/>
        </w:rPr>
        <w:t xml:space="preserve"> </w:t>
      </w:r>
      <w:r w:rsidR="00BE5D82" w:rsidRPr="00583140">
        <w:rPr>
          <w:rFonts w:ascii="Times New Roman" w:hAnsi="Times New Roman" w:cs="Times New Roman"/>
          <w:sz w:val="24"/>
          <w:szCs w:val="24"/>
        </w:rPr>
        <w:t xml:space="preserve">This exclusion would be consistent with Community Reinvestment Act (CRA) and </w:t>
      </w:r>
      <w:r w:rsidR="00AA0DAD" w:rsidRPr="00583140">
        <w:rPr>
          <w:rFonts w:ascii="Times New Roman" w:hAnsi="Times New Roman" w:cs="Times New Roman"/>
          <w:sz w:val="24"/>
          <w:szCs w:val="24"/>
        </w:rPr>
        <w:t>Home Mortgage Disclosure Act (</w:t>
      </w:r>
      <w:r w:rsidR="00BE5D82" w:rsidRPr="00583140">
        <w:rPr>
          <w:rFonts w:ascii="Times New Roman" w:hAnsi="Times New Roman" w:cs="Times New Roman"/>
          <w:sz w:val="24"/>
          <w:szCs w:val="24"/>
        </w:rPr>
        <w:t>HMDA</w:t>
      </w:r>
      <w:r w:rsidR="00AA0DAD" w:rsidRPr="00583140">
        <w:rPr>
          <w:rFonts w:ascii="Times New Roman" w:hAnsi="Times New Roman" w:cs="Times New Roman"/>
          <w:sz w:val="24"/>
          <w:szCs w:val="24"/>
        </w:rPr>
        <w:t>)</w:t>
      </w:r>
      <w:r w:rsidR="00BE5D82" w:rsidRPr="00583140">
        <w:rPr>
          <w:rFonts w:ascii="Times New Roman" w:hAnsi="Times New Roman" w:cs="Times New Roman"/>
          <w:sz w:val="24"/>
          <w:szCs w:val="24"/>
        </w:rPr>
        <w:t xml:space="preserve"> statutes. ICBA argues CFPB’s </w:t>
      </w:r>
      <w:r w:rsidR="00A41563" w:rsidRPr="00583140">
        <w:rPr>
          <w:rFonts w:ascii="Times New Roman" w:hAnsi="Times New Roman" w:cs="Times New Roman"/>
          <w:sz w:val="24"/>
          <w:szCs w:val="24"/>
        </w:rPr>
        <w:t xml:space="preserve">proposal exempting banks with </w:t>
      </w:r>
      <w:r w:rsidR="00186598" w:rsidRPr="00583140">
        <w:rPr>
          <w:rFonts w:ascii="Times New Roman" w:hAnsi="Times New Roman" w:cs="Times New Roman"/>
          <w:sz w:val="24"/>
          <w:szCs w:val="24"/>
        </w:rPr>
        <w:t xml:space="preserve">fewer </w:t>
      </w:r>
      <w:r w:rsidR="00A41563" w:rsidRPr="00583140">
        <w:rPr>
          <w:rFonts w:ascii="Times New Roman" w:hAnsi="Times New Roman" w:cs="Times New Roman"/>
          <w:sz w:val="24"/>
          <w:szCs w:val="24"/>
        </w:rPr>
        <w:t xml:space="preserve">than 25 business loans </w:t>
      </w:r>
      <w:r w:rsidR="00BE5D82" w:rsidRPr="00583140">
        <w:rPr>
          <w:rFonts w:ascii="Times New Roman" w:hAnsi="Times New Roman" w:cs="Times New Roman"/>
          <w:sz w:val="24"/>
          <w:szCs w:val="24"/>
        </w:rPr>
        <w:t xml:space="preserve">annually </w:t>
      </w:r>
      <w:r w:rsidR="00A41563" w:rsidRPr="00583140">
        <w:rPr>
          <w:rFonts w:ascii="Times New Roman" w:hAnsi="Times New Roman" w:cs="Times New Roman"/>
          <w:sz w:val="24"/>
          <w:szCs w:val="24"/>
        </w:rPr>
        <w:t>is simply too small</w:t>
      </w:r>
      <w:r w:rsidR="00DC3416" w:rsidRPr="00583140">
        <w:rPr>
          <w:rFonts w:ascii="Times New Roman" w:hAnsi="Times New Roman" w:cs="Times New Roman"/>
          <w:sz w:val="24"/>
          <w:szCs w:val="24"/>
        </w:rPr>
        <w:t xml:space="preserve"> and would </w:t>
      </w:r>
      <w:r w:rsidR="00BE5D82" w:rsidRPr="00583140">
        <w:rPr>
          <w:rFonts w:ascii="Times New Roman" w:hAnsi="Times New Roman" w:cs="Times New Roman"/>
          <w:sz w:val="24"/>
          <w:szCs w:val="24"/>
        </w:rPr>
        <w:t xml:space="preserve">increase </w:t>
      </w:r>
      <w:r w:rsidR="00DC3416" w:rsidRPr="00583140">
        <w:rPr>
          <w:rFonts w:ascii="Times New Roman" w:hAnsi="Times New Roman" w:cs="Times New Roman"/>
          <w:sz w:val="24"/>
          <w:szCs w:val="24"/>
        </w:rPr>
        <w:t>regulatory burden</w:t>
      </w:r>
      <w:r w:rsidR="00BE5D82" w:rsidRPr="00583140">
        <w:rPr>
          <w:rFonts w:ascii="Times New Roman" w:hAnsi="Times New Roman" w:cs="Times New Roman"/>
          <w:sz w:val="24"/>
          <w:szCs w:val="24"/>
        </w:rPr>
        <w:t xml:space="preserve">s and possibly </w:t>
      </w:r>
      <w:r w:rsidR="00186598" w:rsidRPr="00583140">
        <w:rPr>
          <w:rFonts w:ascii="Times New Roman" w:hAnsi="Times New Roman" w:cs="Times New Roman"/>
          <w:sz w:val="24"/>
          <w:szCs w:val="24"/>
        </w:rPr>
        <w:t xml:space="preserve">lead to </w:t>
      </w:r>
      <w:r w:rsidR="00C55628" w:rsidRPr="00583140">
        <w:rPr>
          <w:rFonts w:ascii="Times New Roman" w:hAnsi="Times New Roman" w:cs="Times New Roman"/>
          <w:sz w:val="24"/>
          <w:szCs w:val="24"/>
        </w:rPr>
        <w:t xml:space="preserve">further consolidation—leaving fewer </w:t>
      </w:r>
      <w:r w:rsidR="00BE5D82" w:rsidRPr="00583140">
        <w:rPr>
          <w:rFonts w:ascii="Times New Roman" w:hAnsi="Times New Roman" w:cs="Times New Roman"/>
          <w:sz w:val="24"/>
          <w:szCs w:val="24"/>
        </w:rPr>
        <w:t xml:space="preserve">banks to serve </w:t>
      </w:r>
      <w:r w:rsidR="00B33185" w:rsidRPr="00583140">
        <w:rPr>
          <w:rFonts w:ascii="Times New Roman" w:hAnsi="Times New Roman" w:cs="Times New Roman"/>
          <w:sz w:val="24"/>
          <w:szCs w:val="24"/>
        </w:rPr>
        <w:t>rural America</w:t>
      </w:r>
      <w:r w:rsidR="00A41563" w:rsidRPr="00583140">
        <w:rPr>
          <w:rFonts w:ascii="Times New Roman" w:hAnsi="Times New Roman" w:cs="Times New Roman"/>
          <w:sz w:val="24"/>
          <w:szCs w:val="24"/>
        </w:rPr>
        <w:t xml:space="preserve">. </w:t>
      </w:r>
    </w:p>
    <w:p w14:paraId="348238D1" w14:textId="189F72E4" w:rsidR="007158D8" w:rsidRPr="0021502B" w:rsidRDefault="00D0571A">
      <w:pPr>
        <w:rPr>
          <w:rFonts w:ascii="Times New Roman" w:hAnsi="Times New Roman" w:cs="Times New Roman"/>
          <w:sz w:val="24"/>
          <w:szCs w:val="24"/>
        </w:rPr>
      </w:pPr>
      <w:r w:rsidRPr="0021502B">
        <w:rPr>
          <w:rFonts w:ascii="Times New Roman" w:hAnsi="Times New Roman" w:cs="Times New Roman"/>
          <w:sz w:val="24"/>
          <w:szCs w:val="24"/>
        </w:rPr>
        <w:t xml:space="preserve">Excusing </w:t>
      </w:r>
      <w:r w:rsidR="00BE5D82" w:rsidRPr="0021502B">
        <w:rPr>
          <w:rFonts w:ascii="Times New Roman" w:hAnsi="Times New Roman" w:cs="Times New Roman"/>
          <w:sz w:val="24"/>
          <w:szCs w:val="24"/>
        </w:rPr>
        <w:t xml:space="preserve">these </w:t>
      </w:r>
      <w:r w:rsidRPr="0021502B">
        <w:rPr>
          <w:rFonts w:ascii="Times New Roman" w:hAnsi="Times New Roman" w:cs="Times New Roman"/>
          <w:sz w:val="24"/>
          <w:szCs w:val="24"/>
        </w:rPr>
        <w:t xml:space="preserve">community banks would </w:t>
      </w:r>
      <w:r w:rsidR="00AD0134" w:rsidRPr="0021502B">
        <w:rPr>
          <w:rFonts w:ascii="Times New Roman" w:hAnsi="Times New Roman" w:cs="Times New Roman"/>
          <w:sz w:val="24"/>
          <w:szCs w:val="24"/>
        </w:rPr>
        <w:t xml:space="preserve">support a </w:t>
      </w:r>
      <w:r w:rsidR="00BE5D82" w:rsidRPr="0021502B">
        <w:rPr>
          <w:rFonts w:ascii="Times New Roman" w:hAnsi="Times New Roman" w:cs="Times New Roman"/>
          <w:sz w:val="24"/>
          <w:szCs w:val="24"/>
        </w:rPr>
        <w:t xml:space="preserve">mutual point </w:t>
      </w:r>
      <w:r w:rsidR="00AD0134" w:rsidRPr="0021502B">
        <w:rPr>
          <w:rFonts w:ascii="Times New Roman" w:hAnsi="Times New Roman" w:cs="Times New Roman"/>
          <w:sz w:val="24"/>
          <w:szCs w:val="24"/>
        </w:rPr>
        <w:t xml:space="preserve">of agreement between the CFPB and ICBA: </w:t>
      </w:r>
      <w:r w:rsidR="00C82F4C" w:rsidRPr="0021502B">
        <w:rPr>
          <w:rFonts w:ascii="Times New Roman" w:hAnsi="Times New Roman" w:cs="Times New Roman"/>
          <w:sz w:val="24"/>
          <w:szCs w:val="24"/>
        </w:rPr>
        <w:t>the value relationship banking creates for rural consumers</w:t>
      </w:r>
      <w:r w:rsidR="00E65449" w:rsidRPr="0021502B">
        <w:rPr>
          <w:rFonts w:ascii="Times New Roman" w:hAnsi="Times New Roman" w:cs="Times New Roman"/>
          <w:sz w:val="24"/>
          <w:szCs w:val="24"/>
        </w:rPr>
        <w:t xml:space="preserve">. This stands in contrast to </w:t>
      </w:r>
      <w:r w:rsidR="00C82F4C" w:rsidRPr="0021502B">
        <w:rPr>
          <w:rFonts w:ascii="Times New Roman" w:hAnsi="Times New Roman" w:cs="Times New Roman"/>
          <w:sz w:val="24"/>
          <w:szCs w:val="24"/>
        </w:rPr>
        <w:lastRenderedPageBreak/>
        <w:t xml:space="preserve">the large-bank algorithmic model </w:t>
      </w:r>
      <w:r w:rsidR="00186598">
        <w:rPr>
          <w:rFonts w:ascii="Times New Roman" w:hAnsi="Times New Roman" w:cs="Times New Roman"/>
          <w:sz w:val="24"/>
          <w:szCs w:val="24"/>
        </w:rPr>
        <w:t>that</w:t>
      </w:r>
      <w:r w:rsidR="00186598" w:rsidRPr="0021502B">
        <w:rPr>
          <w:rFonts w:ascii="Times New Roman" w:hAnsi="Times New Roman" w:cs="Times New Roman"/>
          <w:sz w:val="24"/>
          <w:szCs w:val="24"/>
        </w:rPr>
        <w:t xml:space="preserve"> </w:t>
      </w:r>
      <w:r w:rsidR="00C82F4C" w:rsidRPr="0021502B">
        <w:rPr>
          <w:rFonts w:ascii="Times New Roman" w:hAnsi="Times New Roman" w:cs="Times New Roman"/>
          <w:sz w:val="24"/>
          <w:szCs w:val="24"/>
        </w:rPr>
        <w:t>often treats consumers as data points rather than human beings.</w:t>
      </w:r>
      <w:r w:rsidR="00254606" w:rsidRPr="0021502B">
        <w:rPr>
          <w:rFonts w:ascii="Times New Roman" w:hAnsi="Times New Roman" w:cs="Times New Roman"/>
          <w:sz w:val="24"/>
          <w:szCs w:val="24"/>
        </w:rPr>
        <w:t xml:space="preserve"> </w:t>
      </w:r>
    </w:p>
    <w:p w14:paraId="5ED95C0B" w14:textId="380756FE" w:rsidR="00A41563" w:rsidRPr="0021502B" w:rsidRDefault="00B33185" w:rsidP="00A41563">
      <w:pPr>
        <w:rPr>
          <w:rFonts w:ascii="Times New Roman" w:hAnsi="Times New Roman" w:cs="Times New Roman"/>
          <w:b/>
          <w:bCs/>
          <w:sz w:val="24"/>
          <w:szCs w:val="24"/>
        </w:rPr>
      </w:pPr>
      <w:r w:rsidRPr="0021502B">
        <w:rPr>
          <w:rFonts w:ascii="Times New Roman" w:hAnsi="Times New Roman" w:cs="Times New Roman"/>
          <w:sz w:val="24"/>
          <w:szCs w:val="24"/>
        </w:rPr>
        <w:t>Since</w:t>
      </w:r>
      <w:r w:rsidR="00A41563" w:rsidRPr="0021502B">
        <w:rPr>
          <w:rFonts w:ascii="Times New Roman" w:hAnsi="Times New Roman" w:cs="Times New Roman"/>
          <w:sz w:val="24"/>
          <w:szCs w:val="24"/>
        </w:rPr>
        <w:t xml:space="preserve"> credit unions and nonbank lenders </w:t>
      </w:r>
      <w:r w:rsidR="00AA0DAD" w:rsidRPr="0021502B">
        <w:rPr>
          <w:rFonts w:ascii="Times New Roman" w:hAnsi="Times New Roman" w:cs="Times New Roman"/>
          <w:sz w:val="24"/>
          <w:szCs w:val="24"/>
        </w:rPr>
        <w:t xml:space="preserve">do not </w:t>
      </w:r>
      <w:r w:rsidR="00A41563" w:rsidRPr="0021502B">
        <w:rPr>
          <w:rFonts w:ascii="Times New Roman" w:hAnsi="Times New Roman" w:cs="Times New Roman"/>
          <w:sz w:val="24"/>
          <w:szCs w:val="24"/>
        </w:rPr>
        <w:t>comply with</w:t>
      </w:r>
      <w:r w:rsidRPr="0021502B">
        <w:rPr>
          <w:rFonts w:ascii="Times New Roman" w:hAnsi="Times New Roman" w:cs="Times New Roman"/>
          <w:sz w:val="24"/>
          <w:szCs w:val="24"/>
        </w:rPr>
        <w:t xml:space="preserve"> </w:t>
      </w:r>
      <w:r w:rsidR="00AA0DAD" w:rsidRPr="0021502B">
        <w:rPr>
          <w:rFonts w:ascii="Times New Roman" w:hAnsi="Times New Roman" w:cs="Times New Roman"/>
          <w:sz w:val="24"/>
          <w:szCs w:val="24"/>
        </w:rPr>
        <w:t xml:space="preserve">CRA requirements, </w:t>
      </w:r>
      <w:r w:rsidRPr="0021502B">
        <w:rPr>
          <w:rFonts w:ascii="Times New Roman" w:hAnsi="Times New Roman" w:cs="Times New Roman"/>
          <w:sz w:val="24"/>
          <w:szCs w:val="24"/>
        </w:rPr>
        <w:t>they</w:t>
      </w:r>
      <w:r w:rsidR="00A41563" w:rsidRPr="0021502B">
        <w:rPr>
          <w:rFonts w:ascii="Times New Roman" w:hAnsi="Times New Roman" w:cs="Times New Roman"/>
          <w:sz w:val="24"/>
          <w:szCs w:val="24"/>
        </w:rPr>
        <w:t xml:space="preserve"> would be a more appropriate target for the CFPB’s </w:t>
      </w:r>
      <w:r w:rsidR="00AA0DAD" w:rsidRPr="0021502B">
        <w:rPr>
          <w:rFonts w:ascii="Times New Roman" w:hAnsi="Times New Roman" w:cs="Times New Roman"/>
          <w:sz w:val="24"/>
          <w:szCs w:val="24"/>
        </w:rPr>
        <w:t xml:space="preserve">section </w:t>
      </w:r>
      <w:r w:rsidR="00A41563" w:rsidRPr="0021502B">
        <w:rPr>
          <w:rFonts w:ascii="Times New Roman" w:hAnsi="Times New Roman" w:cs="Times New Roman"/>
          <w:sz w:val="24"/>
          <w:szCs w:val="24"/>
        </w:rPr>
        <w:t>1071 requirements.</w:t>
      </w:r>
    </w:p>
    <w:p w14:paraId="48272298" w14:textId="60429CB3" w:rsidR="002144FF" w:rsidRPr="0021502B" w:rsidRDefault="00E6453A">
      <w:pPr>
        <w:rPr>
          <w:rFonts w:ascii="Times New Roman" w:hAnsi="Times New Roman" w:cs="Times New Roman"/>
          <w:sz w:val="24"/>
          <w:szCs w:val="24"/>
        </w:rPr>
      </w:pPr>
      <w:r w:rsidRPr="0021502B">
        <w:rPr>
          <w:rFonts w:ascii="Times New Roman" w:hAnsi="Times New Roman" w:cs="Times New Roman"/>
          <w:b/>
          <w:bCs/>
          <w:sz w:val="24"/>
          <w:szCs w:val="24"/>
        </w:rPr>
        <w:t xml:space="preserve">Requiring the Farm Credit System </w:t>
      </w:r>
      <w:r w:rsidR="002144FF" w:rsidRPr="0021502B">
        <w:rPr>
          <w:rFonts w:ascii="Times New Roman" w:hAnsi="Times New Roman" w:cs="Times New Roman"/>
          <w:b/>
          <w:bCs/>
          <w:sz w:val="24"/>
          <w:szCs w:val="24"/>
        </w:rPr>
        <w:t xml:space="preserve">(FCS) </w:t>
      </w:r>
      <w:r w:rsidRPr="0021502B">
        <w:rPr>
          <w:rFonts w:ascii="Times New Roman" w:hAnsi="Times New Roman" w:cs="Times New Roman"/>
          <w:b/>
          <w:bCs/>
          <w:sz w:val="24"/>
          <w:szCs w:val="24"/>
        </w:rPr>
        <w:t xml:space="preserve">to comply with 1071. </w:t>
      </w:r>
      <w:r w:rsidR="002144FF" w:rsidRPr="0021502B">
        <w:rPr>
          <w:rFonts w:ascii="Times New Roman" w:hAnsi="Times New Roman" w:cs="Times New Roman"/>
          <w:sz w:val="24"/>
          <w:szCs w:val="24"/>
        </w:rPr>
        <w:t>If the FCS were</w:t>
      </w:r>
      <w:r w:rsidR="00C542F2" w:rsidRPr="0021502B">
        <w:rPr>
          <w:rFonts w:ascii="Times New Roman" w:hAnsi="Times New Roman" w:cs="Times New Roman"/>
          <w:sz w:val="24"/>
          <w:szCs w:val="24"/>
        </w:rPr>
        <w:t xml:space="preserve"> a bank, it would be the ninth largest U.S. banking institution</w:t>
      </w:r>
      <w:r w:rsidR="00186598">
        <w:rPr>
          <w:rFonts w:ascii="Times New Roman" w:hAnsi="Times New Roman" w:cs="Times New Roman"/>
          <w:sz w:val="24"/>
          <w:szCs w:val="24"/>
        </w:rPr>
        <w:t>,</w:t>
      </w:r>
      <w:r w:rsidR="00C542F2" w:rsidRPr="0021502B">
        <w:rPr>
          <w:rFonts w:ascii="Times New Roman" w:hAnsi="Times New Roman" w:cs="Times New Roman"/>
          <w:sz w:val="24"/>
          <w:szCs w:val="24"/>
        </w:rPr>
        <w:t xml:space="preserve"> with </w:t>
      </w:r>
      <w:r w:rsidR="00AA0DAD" w:rsidRPr="0021502B">
        <w:rPr>
          <w:rFonts w:ascii="Times New Roman" w:hAnsi="Times New Roman" w:cs="Times New Roman"/>
          <w:sz w:val="24"/>
          <w:szCs w:val="24"/>
        </w:rPr>
        <w:t xml:space="preserve">approximately </w:t>
      </w:r>
      <w:r w:rsidR="002144FF" w:rsidRPr="0021502B">
        <w:rPr>
          <w:rFonts w:ascii="Times New Roman" w:hAnsi="Times New Roman" w:cs="Times New Roman"/>
          <w:sz w:val="24"/>
          <w:szCs w:val="24"/>
        </w:rPr>
        <w:t>$450 billion in total assets and $357 billion in total loans</w:t>
      </w:r>
      <w:r w:rsidR="00AA0DAD" w:rsidRPr="0021502B">
        <w:rPr>
          <w:rFonts w:ascii="Times New Roman" w:hAnsi="Times New Roman" w:cs="Times New Roman"/>
          <w:sz w:val="24"/>
          <w:szCs w:val="24"/>
        </w:rPr>
        <w:t xml:space="preserve"> at year-end 2021</w:t>
      </w:r>
      <w:r w:rsidR="00C542F2" w:rsidRPr="0021502B">
        <w:rPr>
          <w:rFonts w:ascii="Times New Roman" w:hAnsi="Times New Roman" w:cs="Times New Roman"/>
          <w:sz w:val="24"/>
          <w:szCs w:val="24"/>
        </w:rPr>
        <w:t>.</w:t>
      </w:r>
      <w:r w:rsidR="002144FF" w:rsidRPr="0021502B">
        <w:rPr>
          <w:rFonts w:ascii="Times New Roman" w:hAnsi="Times New Roman" w:cs="Times New Roman"/>
          <w:sz w:val="24"/>
          <w:szCs w:val="24"/>
        </w:rPr>
        <w:t xml:space="preserve"> An institution </w:t>
      </w:r>
      <w:r w:rsidR="00C542F2" w:rsidRPr="0021502B">
        <w:rPr>
          <w:rFonts w:ascii="Times New Roman" w:hAnsi="Times New Roman" w:cs="Times New Roman"/>
          <w:sz w:val="24"/>
          <w:szCs w:val="24"/>
        </w:rPr>
        <w:t xml:space="preserve">that large </w:t>
      </w:r>
      <w:r w:rsidR="002144FF" w:rsidRPr="0021502B">
        <w:rPr>
          <w:rFonts w:ascii="Times New Roman" w:hAnsi="Times New Roman" w:cs="Times New Roman"/>
          <w:sz w:val="24"/>
          <w:szCs w:val="24"/>
        </w:rPr>
        <w:t xml:space="preserve">should not </w:t>
      </w:r>
      <w:r w:rsidR="00C542F2" w:rsidRPr="0021502B">
        <w:rPr>
          <w:rFonts w:ascii="Times New Roman" w:hAnsi="Times New Roman" w:cs="Times New Roman"/>
          <w:sz w:val="24"/>
          <w:szCs w:val="24"/>
        </w:rPr>
        <w:t xml:space="preserve">be exempt </w:t>
      </w:r>
      <w:r w:rsidR="002144FF" w:rsidRPr="0021502B">
        <w:rPr>
          <w:rFonts w:ascii="Times New Roman" w:hAnsi="Times New Roman" w:cs="Times New Roman"/>
          <w:sz w:val="24"/>
          <w:szCs w:val="24"/>
        </w:rPr>
        <w:t>from the CFPB’s section 1071 regulation</w:t>
      </w:r>
      <w:r w:rsidR="00186598">
        <w:rPr>
          <w:rFonts w:ascii="Times New Roman" w:hAnsi="Times New Roman" w:cs="Times New Roman"/>
          <w:sz w:val="24"/>
          <w:szCs w:val="24"/>
        </w:rPr>
        <w:t>,</w:t>
      </w:r>
      <w:r w:rsidR="00AA0DAD" w:rsidRPr="0021502B">
        <w:rPr>
          <w:rFonts w:ascii="Times New Roman" w:hAnsi="Times New Roman" w:cs="Times New Roman"/>
          <w:sz w:val="24"/>
          <w:szCs w:val="24"/>
        </w:rPr>
        <w:t xml:space="preserve"> as </w:t>
      </w:r>
      <w:r w:rsidR="00186598">
        <w:rPr>
          <w:rFonts w:ascii="Times New Roman" w:hAnsi="Times New Roman" w:cs="Times New Roman"/>
          <w:sz w:val="24"/>
          <w:szCs w:val="24"/>
        </w:rPr>
        <w:t>it</w:t>
      </w:r>
      <w:r w:rsidR="002144FF" w:rsidRPr="0021502B">
        <w:rPr>
          <w:rFonts w:ascii="Times New Roman" w:hAnsi="Times New Roman" w:cs="Times New Roman"/>
          <w:sz w:val="24"/>
          <w:szCs w:val="24"/>
        </w:rPr>
        <w:t xml:space="preserve"> would</w:t>
      </w:r>
      <w:r w:rsidR="009903CC" w:rsidRPr="0021502B">
        <w:rPr>
          <w:rFonts w:ascii="Times New Roman" w:hAnsi="Times New Roman" w:cs="Times New Roman"/>
          <w:sz w:val="24"/>
          <w:szCs w:val="24"/>
        </w:rPr>
        <w:t xml:space="preserve"> leave out a huge segment of </w:t>
      </w:r>
      <w:r w:rsidR="00AA0DAD" w:rsidRPr="0021502B">
        <w:rPr>
          <w:rFonts w:ascii="Times New Roman" w:hAnsi="Times New Roman" w:cs="Times New Roman"/>
          <w:sz w:val="24"/>
          <w:szCs w:val="24"/>
        </w:rPr>
        <w:t xml:space="preserve">rural </w:t>
      </w:r>
      <w:r w:rsidR="009903CC" w:rsidRPr="0021502B">
        <w:rPr>
          <w:rFonts w:ascii="Times New Roman" w:hAnsi="Times New Roman" w:cs="Times New Roman"/>
          <w:sz w:val="24"/>
          <w:szCs w:val="24"/>
        </w:rPr>
        <w:t>loan</w:t>
      </w:r>
      <w:r w:rsidR="00426BD6" w:rsidRPr="0021502B">
        <w:rPr>
          <w:rFonts w:ascii="Times New Roman" w:hAnsi="Times New Roman" w:cs="Times New Roman"/>
          <w:sz w:val="24"/>
          <w:szCs w:val="24"/>
        </w:rPr>
        <w:t>s</w:t>
      </w:r>
      <w:r w:rsidR="009903CC" w:rsidRPr="0021502B">
        <w:rPr>
          <w:rFonts w:ascii="Times New Roman" w:hAnsi="Times New Roman" w:cs="Times New Roman"/>
          <w:sz w:val="24"/>
          <w:szCs w:val="24"/>
        </w:rPr>
        <w:t xml:space="preserve">, </w:t>
      </w:r>
      <w:r w:rsidR="002144FF" w:rsidRPr="0021502B">
        <w:rPr>
          <w:rFonts w:ascii="Times New Roman" w:hAnsi="Times New Roman" w:cs="Times New Roman"/>
          <w:sz w:val="24"/>
          <w:szCs w:val="24"/>
        </w:rPr>
        <w:t>distort</w:t>
      </w:r>
      <w:r w:rsidR="009903CC" w:rsidRPr="0021502B">
        <w:rPr>
          <w:rFonts w:ascii="Times New Roman" w:hAnsi="Times New Roman" w:cs="Times New Roman"/>
          <w:sz w:val="24"/>
          <w:szCs w:val="24"/>
        </w:rPr>
        <w:t>ing</w:t>
      </w:r>
      <w:r w:rsidR="002B1AE8" w:rsidRPr="0021502B">
        <w:rPr>
          <w:rFonts w:ascii="Times New Roman" w:hAnsi="Times New Roman" w:cs="Times New Roman"/>
          <w:sz w:val="24"/>
          <w:szCs w:val="24"/>
        </w:rPr>
        <w:t xml:space="preserve"> the CFPB’s view of </w:t>
      </w:r>
      <w:r w:rsidR="002144FF" w:rsidRPr="0021502B">
        <w:rPr>
          <w:rFonts w:ascii="Times New Roman" w:hAnsi="Times New Roman" w:cs="Times New Roman"/>
          <w:sz w:val="24"/>
          <w:szCs w:val="24"/>
        </w:rPr>
        <w:t>rural lending markets</w:t>
      </w:r>
      <w:r w:rsidR="00426BD6" w:rsidRPr="0021502B">
        <w:rPr>
          <w:rFonts w:ascii="Times New Roman" w:hAnsi="Times New Roman" w:cs="Times New Roman"/>
          <w:sz w:val="24"/>
          <w:szCs w:val="24"/>
        </w:rPr>
        <w:t xml:space="preserve">. </w:t>
      </w:r>
    </w:p>
    <w:p w14:paraId="275F989F" w14:textId="03B19624" w:rsidR="00FB2511" w:rsidRPr="0021502B" w:rsidRDefault="00292BC7">
      <w:pPr>
        <w:rPr>
          <w:rFonts w:ascii="Times New Roman" w:hAnsi="Times New Roman" w:cs="Times New Roman"/>
          <w:b/>
          <w:bCs/>
          <w:sz w:val="24"/>
          <w:szCs w:val="24"/>
        </w:rPr>
      </w:pPr>
      <w:r w:rsidRPr="0021502B">
        <w:rPr>
          <w:rFonts w:ascii="Times New Roman" w:hAnsi="Times New Roman" w:cs="Times New Roman"/>
          <w:sz w:val="24"/>
          <w:szCs w:val="24"/>
        </w:rPr>
        <w:t>Rather than serving the smallest</w:t>
      </w:r>
      <w:r w:rsidR="00500F51" w:rsidRPr="0021502B">
        <w:rPr>
          <w:rFonts w:ascii="Times New Roman" w:hAnsi="Times New Roman" w:cs="Times New Roman"/>
          <w:sz w:val="24"/>
          <w:szCs w:val="24"/>
        </w:rPr>
        <w:t xml:space="preserve"> farm and ranch</w:t>
      </w:r>
      <w:r w:rsidRPr="0021502B">
        <w:rPr>
          <w:rFonts w:ascii="Times New Roman" w:hAnsi="Times New Roman" w:cs="Times New Roman"/>
          <w:sz w:val="24"/>
          <w:szCs w:val="24"/>
        </w:rPr>
        <w:t xml:space="preserve"> borrowers who may have trouble finding credit</w:t>
      </w:r>
      <w:r w:rsidR="00C777BD" w:rsidRPr="0021502B">
        <w:rPr>
          <w:rFonts w:ascii="Times New Roman" w:hAnsi="Times New Roman" w:cs="Times New Roman"/>
          <w:sz w:val="24"/>
          <w:szCs w:val="24"/>
        </w:rPr>
        <w:t xml:space="preserve"> (</w:t>
      </w:r>
      <w:r w:rsidR="00B906F2" w:rsidRPr="0021502B">
        <w:rPr>
          <w:rFonts w:ascii="Times New Roman" w:hAnsi="Times New Roman" w:cs="Times New Roman"/>
          <w:sz w:val="24"/>
          <w:szCs w:val="24"/>
        </w:rPr>
        <w:t>with loans of $250,000 or les</w:t>
      </w:r>
      <w:r w:rsidR="00640705" w:rsidRPr="0021502B">
        <w:rPr>
          <w:rFonts w:ascii="Times New Roman" w:hAnsi="Times New Roman" w:cs="Times New Roman"/>
          <w:sz w:val="24"/>
          <w:szCs w:val="24"/>
        </w:rPr>
        <w:t>s representing less than 10</w:t>
      </w:r>
      <w:r w:rsidR="00A90029">
        <w:rPr>
          <w:rFonts w:ascii="Times New Roman" w:hAnsi="Times New Roman" w:cs="Times New Roman"/>
          <w:sz w:val="24"/>
          <w:szCs w:val="24"/>
        </w:rPr>
        <w:t>%</w:t>
      </w:r>
      <w:r w:rsidR="00640705" w:rsidRPr="0021502B">
        <w:rPr>
          <w:rFonts w:ascii="Times New Roman" w:hAnsi="Times New Roman" w:cs="Times New Roman"/>
          <w:sz w:val="24"/>
          <w:szCs w:val="24"/>
        </w:rPr>
        <w:t xml:space="preserve"> of its </w:t>
      </w:r>
      <w:r w:rsidR="00426BD6" w:rsidRPr="0021502B">
        <w:rPr>
          <w:rFonts w:ascii="Times New Roman" w:hAnsi="Times New Roman" w:cs="Times New Roman"/>
          <w:sz w:val="24"/>
          <w:szCs w:val="24"/>
        </w:rPr>
        <w:t>loan volume</w:t>
      </w:r>
      <w:r w:rsidR="00675201" w:rsidRPr="0021502B">
        <w:rPr>
          <w:rFonts w:ascii="Times New Roman" w:hAnsi="Times New Roman" w:cs="Times New Roman"/>
          <w:sz w:val="24"/>
          <w:szCs w:val="24"/>
        </w:rPr>
        <w:t xml:space="preserve">), the FCS has cherrypicked </w:t>
      </w:r>
      <w:r w:rsidR="00DD3BFC" w:rsidRPr="0021502B">
        <w:rPr>
          <w:rFonts w:ascii="Times New Roman" w:hAnsi="Times New Roman" w:cs="Times New Roman"/>
          <w:sz w:val="24"/>
          <w:szCs w:val="24"/>
        </w:rPr>
        <w:t xml:space="preserve">more </w:t>
      </w:r>
      <w:r w:rsidR="006B7BBE" w:rsidRPr="0021502B">
        <w:rPr>
          <w:rFonts w:ascii="Times New Roman" w:hAnsi="Times New Roman" w:cs="Times New Roman"/>
          <w:sz w:val="24"/>
          <w:szCs w:val="24"/>
        </w:rPr>
        <w:t>profitable farm</w:t>
      </w:r>
      <w:r w:rsidR="00426BD6" w:rsidRPr="0021502B">
        <w:rPr>
          <w:rFonts w:ascii="Times New Roman" w:hAnsi="Times New Roman" w:cs="Times New Roman"/>
          <w:sz w:val="24"/>
          <w:szCs w:val="24"/>
        </w:rPr>
        <w:t xml:space="preserve"> </w:t>
      </w:r>
      <w:r w:rsidR="006B7BBE" w:rsidRPr="0021502B">
        <w:rPr>
          <w:rFonts w:ascii="Times New Roman" w:hAnsi="Times New Roman" w:cs="Times New Roman"/>
          <w:sz w:val="24"/>
          <w:szCs w:val="24"/>
        </w:rPr>
        <w:t xml:space="preserve">loans </w:t>
      </w:r>
      <w:r w:rsidR="00426BD6" w:rsidRPr="0021502B">
        <w:rPr>
          <w:rFonts w:ascii="Times New Roman" w:hAnsi="Times New Roman" w:cs="Times New Roman"/>
          <w:sz w:val="24"/>
          <w:szCs w:val="24"/>
        </w:rPr>
        <w:t xml:space="preserve">from </w:t>
      </w:r>
      <w:r w:rsidR="00DD3BFC" w:rsidRPr="0021502B">
        <w:rPr>
          <w:rFonts w:ascii="Times New Roman" w:hAnsi="Times New Roman" w:cs="Times New Roman"/>
          <w:sz w:val="24"/>
          <w:szCs w:val="24"/>
        </w:rPr>
        <w:t>community banks</w:t>
      </w:r>
      <w:r w:rsidR="00426BD6" w:rsidRPr="0021502B">
        <w:rPr>
          <w:rFonts w:ascii="Times New Roman" w:hAnsi="Times New Roman" w:cs="Times New Roman"/>
          <w:sz w:val="24"/>
          <w:szCs w:val="24"/>
        </w:rPr>
        <w:t xml:space="preserve">’ portfolios. </w:t>
      </w:r>
    </w:p>
    <w:p w14:paraId="09C6C9E9" w14:textId="657B12CB" w:rsidR="00A90029" w:rsidRDefault="00583140" w:rsidP="00583140">
      <w:pPr>
        <w:rPr>
          <w:rFonts w:ascii="Times New Roman" w:hAnsi="Times New Roman" w:cs="Times New Roman"/>
          <w:sz w:val="24"/>
          <w:szCs w:val="24"/>
        </w:rPr>
      </w:pPr>
      <w:r>
        <w:rPr>
          <w:rFonts w:ascii="Times New Roman" w:hAnsi="Times New Roman" w:cs="Times New Roman"/>
          <w:b/>
          <w:bCs/>
          <w:sz w:val="24"/>
          <w:szCs w:val="24"/>
        </w:rPr>
        <w:t xml:space="preserve">Reducing </w:t>
      </w:r>
      <w:r w:rsidR="00186598">
        <w:rPr>
          <w:rFonts w:ascii="Times New Roman" w:hAnsi="Times New Roman" w:cs="Times New Roman"/>
          <w:b/>
          <w:bCs/>
          <w:sz w:val="24"/>
          <w:szCs w:val="24"/>
        </w:rPr>
        <w:t>b</w:t>
      </w:r>
      <w:r w:rsidR="00186598" w:rsidRPr="0021502B">
        <w:rPr>
          <w:rFonts w:ascii="Times New Roman" w:hAnsi="Times New Roman" w:cs="Times New Roman"/>
          <w:b/>
          <w:bCs/>
          <w:sz w:val="24"/>
          <w:szCs w:val="24"/>
        </w:rPr>
        <w:t xml:space="preserve">ank </w:t>
      </w:r>
      <w:r w:rsidR="0078338B" w:rsidRPr="0021502B">
        <w:rPr>
          <w:rFonts w:ascii="Times New Roman" w:hAnsi="Times New Roman" w:cs="Times New Roman"/>
          <w:b/>
          <w:bCs/>
          <w:sz w:val="24"/>
          <w:szCs w:val="24"/>
        </w:rPr>
        <w:t xml:space="preserve">consolidation. </w:t>
      </w:r>
      <w:r w:rsidR="0078338B" w:rsidRPr="0021502B">
        <w:rPr>
          <w:rFonts w:ascii="Times New Roman" w:hAnsi="Times New Roman" w:cs="Times New Roman"/>
          <w:sz w:val="24"/>
          <w:szCs w:val="24"/>
        </w:rPr>
        <w:t xml:space="preserve">Reports indicate community banks are three times more likely to </w:t>
      </w:r>
      <w:r w:rsidR="00186598">
        <w:rPr>
          <w:rFonts w:ascii="Times New Roman" w:hAnsi="Times New Roman" w:cs="Times New Roman"/>
          <w:sz w:val="24"/>
          <w:szCs w:val="24"/>
        </w:rPr>
        <w:t>be located</w:t>
      </w:r>
      <w:r w:rsidR="00186598" w:rsidRPr="0021502B">
        <w:rPr>
          <w:rFonts w:ascii="Times New Roman" w:hAnsi="Times New Roman" w:cs="Times New Roman"/>
          <w:sz w:val="24"/>
          <w:szCs w:val="24"/>
        </w:rPr>
        <w:t xml:space="preserve"> </w:t>
      </w:r>
      <w:r w:rsidR="0078338B" w:rsidRPr="0021502B">
        <w:rPr>
          <w:rFonts w:ascii="Times New Roman" w:hAnsi="Times New Roman" w:cs="Times New Roman"/>
          <w:sz w:val="24"/>
          <w:szCs w:val="24"/>
        </w:rPr>
        <w:t>in a rural area than nonbank lenders</w:t>
      </w:r>
      <w:r w:rsidR="00114152" w:rsidRPr="0021502B">
        <w:rPr>
          <w:rFonts w:ascii="Times New Roman" w:hAnsi="Times New Roman" w:cs="Times New Roman"/>
          <w:sz w:val="24"/>
          <w:szCs w:val="24"/>
        </w:rPr>
        <w:t xml:space="preserve">. </w:t>
      </w:r>
      <w:r w:rsidR="00C54C36" w:rsidRPr="0021502B">
        <w:rPr>
          <w:rFonts w:ascii="Times New Roman" w:hAnsi="Times New Roman" w:cs="Times New Roman"/>
          <w:sz w:val="24"/>
          <w:szCs w:val="24"/>
        </w:rPr>
        <w:t>C</w:t>
      </w:r>
      <w:r w:rsidR="00114152" w:rsidRPr="0021502B">
        <w:rPr>
          <w:rFonts w:ascii="Times New Roman" w:eastAsia="Calibri" w:hAnsi="Times New Roman" w:cs="Times New Roman"/>
          <w:sz w:val="24"/>
          <w:szCs w:val="24"/>
        </w:rPr>
        <w:t>ommunity banks operate 57</w:t>
      </w:r>
      <w:r w:rsidR="00A90029">
        <w:rPr>
          <w:rFonts w:ascii="Times New Roman" w:eastAsia="Calibri" w:hAnsi="Times New Roman" w:cs="Times New Roman"/>
          <w:sz w:val="24"/>
          <w:szCs w:val="24"/>
        </w:rPr>
        <w:t>%</w:t>
      </w:r>
      <w:r w:rsidR="00114152" w:rsidRPr="0021502B">
        <w:rPr>
          <w:rFonts w:ascii="Times New Roman" w:eastAsia="Calibri" w:hAnsi="Times New Roman" w:cs="Times New Roman"/>
          <w:sz w:val="24"/>
          <w:szCs w:val="24"/>
        </w:rPr>
        <w:t xml:space="preserve"> of </w:t>
      </w:r>
      <w:r w:rsidR="00C54C36" w:rsidRPr="0021502B">
        <w:rPr>
          <w:rFonts w:ascii="Times New Roman" w:eastAsia="Calibri" w:hAnsi="Times New Roman" w:cs="Times New Roman"/>
          <w:sz w:val="24"/>
          <w:szCs w:val="24"/>
        </w:rPr>
        <w:t xml:space="preserve">bank </w:t>
      </w:r>
      <w:r w:rsidR="00114152" w:rsidRPr="0021502B">
        <w:rPr>
          <w:rFonts w:ascii="Times New Roman" w:eastAsia="Calibri" w:hAnsi="Times New Roman" w:cs="Times New Roman"/>
          <w:sz w:val="24"/>
          <w:szCs w:val="24"/>
        </w:rPr>
        <w:t>offices in micropolitan counties</w:t>
      </w:r>
      <w:r w:rsidR="00C54C36" w:rsidRPr="0021502B">
        <w:rPr>
          <w:rFonts w:ascii="Times New Roman" w:eastAsia="Calibri" w:hAnsi="Times New Roman" w:cs="Times New Roman"/>
          <w:sz w:val="24"/>
          <w:szCs w:val="24"/>
        </w:rPr>
        <w:t xml:space="preserve"> </w:t>
      </w:r>
      <w:r w:rsidR="003E4939" w:rsidRPr="0021502B">
        <w:rPr>
          <w:rFonts w:ascii="Times New Roman" w:eastAsia="Calibri" w:hAnsi="Times New Roman" w:cs="Times New Roman"/>
          <w:sz w:val="24"/>
          <w:szCs w:val="24"/>
        </w:rPr>
        <w:t>(under</w:t>
      </w:r>
      <w:r w:rsidR="00C54C36" w:rsidRPr="0021502B">
        <w:rPr>
          <w:rFonts w:ascii="Times New Roman" w:eastAsia="Calibri" w:hAnsi="Times New Roman" w:cs="Times New Roman"/>
          <w:sz w:val="24"/>
          <w:szCs w:val="24"/>
        </w:rPr>
        <w:t xml:space="preserve"> 10,000 </w:t>
      </w:r>
      <w:r w:rsidR="003F5AC5" w:rsidRPr="0021502B">
        <w:rPr>
          <w:rFonts w:ascii="Times New Roman" w:eastAsia="Calibri" w:hAnsi="Times New Roman" w:cs="Times New Roman"/>
          <w:sz w:val="24"/>
          <w:szCs w:val="24"/>
        </w:rPr>
        <w:t>population</w:t>
      </w:r>
      <w:r w:rsidR="003E4939" w:rsidRPr="0021502B">
        <w:rPr>
          <w:rFonts w:ascii="Times New Roman" w:eastAsia="Calibri" w:hAnsi="Times New Roman" w:cs="Times New Roman"/>
          <w:sz w:val="24"/>
          <w:szCs w:val="24"/>
        </w:rPr>
        <w:t>)</w:t>
      </w:r>
      <w:r w:rsidR="003F5AC5" w:rsidRPr="0021502B">
        <w:rPr>
          <w:rFonts w:ascii="Times New Roman" w:eastAsia="Calibri" w:hAnsi="Times New Roman" w:cs="Times New Roman"/>
          <w:sz w:val="24"/>
          <w:szCs w:val="24"/>
        </w:rPr>
        <w:t xml:space="preserve"> </w:t>
      </w:r>
      <w:r w:rsidR="00114152" w:rsidRPr="0021502B">
        <w:rPr>
          <w:rFonts w:ascii="Times New Roman" w:eastAsia="Calibri" w:hAnsi="Times New Roman" w:cs="Times New Roman"/>
          <w:sz w:val="24"/>
          <w:szCs w:val="24"/>
        </w:rPr>
        <w:t>and 72</w:t>
      </w:r>
      <w:r w:rsidR="00A90029">
        <w:rPr>
          <w:rFonts w:ascii="Times New Roman" w:eastAsia="Calibri" w:hAnsi="Times New Roman" w:cs="Times New Roman"/>
          <w:sz w:val="24"/>
          <w:szCs w:val="24"/>
        </w:rPr>
        <w:t>%</w:t>
      </w:r>
      <w:r w:rsidR="00114152" w:rsidRPr="0021502B">
        <w:rPr>
          <w:rFonts w:ascii="Times New Roman" w:eastAsia="Calibri" w:hAnsi="Times New Roman" w:cs="Times New Roman"/>
          <w:sz w:val="24"/>
          <w:szCs w:val="24"/>
        </w:rPr>
        <w:t xml:space="preserve"> of offices in rural counties. The vital role of community banks is underscored </w:t>
      </w:r>
      <w:r w:rsidR="006569C7" w:rsidRPr="0021502B">
        <w:rPr>
          <w:rFonts w:ascii="Times New Roman" w:eastAsia="Calibri" w:hAnsi="Times New Roman" w:cs="Times New Roman"/>
          <w:sz w:val="24"/>
          <w:szCs w:val="24"/>
        </w:rPr>
        <w:t xml:space="preserve">in </w:t>
      </w:r>
      <w:r w:rsidR="00114152" w:rsidRPr="0021502B">
        <w:rPr>
          <w:rFonts w:ascii="Times New Roman" w:eastAsia="Calibri" w:hAnsi="Times New Roman" w:cs="Times New Roman"/>
          <w:sz w:val="24"/>
          <w:szCs w:val="24"/>
        </w:rPr>
        <w:t xml:space="preserve">that </w:t>
      </w:r>
      <w:r w:rsidR="007E6DE9" w:rsidRPr="0021502B">
        <w:rPr>
          <w:rFonts w:ascii="Times New Roman" w:eastAsia="Calibri" w:hAnsi="Times New Roman" w:cs="Times New Roman"/>
          <w:sz w:val="24"/>
          <w:szCs w:val="24"/>
        </w:rPr>
        <w:t>approximately 25</w:t>
      </w:r>
      <w:r w:rsidR="00A90029">
        <w:rPr>
          <w:rFonts w:ascii="Times New Roman" w:eastAsia="Calibri" w:hAnsi="Times New Roman" w:cs="Times New Roman"/>
          <w:sz w:val="24"/>
          <w:szCs w:val="24"/>
        </w:rPr>
        <w:t>%</w:t>
      </w:r>
      <w:r w:rsidR="00114152" w:rsidRPr="0021502B">
        <w:rPr>
          <w:rFonts w:ascii="Times New Roman" w:eastAsia="Calibri" w:hAnsi="Times New Roman" w:cs="Times New Roman"/>
          <w:sz w:val="24"/>
          <w:szCs w:val="24"/>
        </w:rPr>
        <w:t xml:space="preserve"> of all counties have only a community bank presence. </w:t>
      </w:r>
      <w:r w:rsidR="00BB0D8A" w:rsidRPr="0021502B">
        <w:rPr>
          <w:rFonts w:ascii="Times New Roman" w:eastAsia="Calibri" w:hAnsi="Times New Roman" w:cs="Times New Roman"/>
          <w:sz w:val="24"/>
          <w:szCs w:val="24"/>
        </w:rPr>
        <w:t xml:space="preserve">Clearly, </w:t>
      </w:r>
      <w:r w:rsidR="00114152" w:rsidRPr="0021502B">
        <w:rPr>
          <w:rFonts w:ascii="Times New Roman" w:eastAsia="Calibri" w:hAnsi="Times New Roman" w:cs="Times New Roman"/>
          <w:sz w:val="24"/>
          <w:szCs w:val="24"/>
        </w:rPr>
        <w:t>community banks play a critical role in providing access to basic banking services</w:t>
      </w:r>
      <w:r w:rsidR="00531BBB" w:rsidRPr="0021502B">
        <w:rPr>
          <w:rFonts w:ascii="Times New Roman" w:eastAsia="Calibri" w:hAnsi="Times New Roman" w:cs="Times New Roman"/>
          <w:sz w:val="24"/>
          <w:szCs w:val="24"/>
        </w:rPr>
        <w:t xml:space="preserve"> that sustain </w:t>
      </w:r>
      <w:r w:rsidR="00B1573A" w:rsidRPr="0021502B">
        <w:rPr>
          <w:rFonts w:ascii="Times New Roman" w:hAnsi="Times New Roman" w:cs="Times New Roman"/>
          <w:sz w:val="24"/>
          <w:szCs w:val="24"/>
        </w:rPr>
        <w:t>job creation, rural housing, education and other importan</w:t>
      </w:r>
      <w:r w:rsidR="00BB2CB1" w:rsidRPr="0021502B">
        <w:rPr>
          <w:rFonts w:ascii="Times New Roman" w:hAnsi="Times New Roman" w:cs="Times New Roman"/>
          <w:sz w:val="24"/>
          <w:szCs w:val="24"/>
        </w:rPr>
        <w:t>t local</w:t>
      </w:r>
      <w:r w:rsidR="00B1573A" w:rsidRPr="0021502B">
        <w:rPr>
          <w:rFonts w:ascii="Times New Roman" w:hAnsi="Times New Roman" w:cs="Times New Roman"/>
          <w:sz w:val="24"/>
          <w:szCs w:val="24"/>
        </w:rPr>
        <w:t xml:space="preserve"> needs</w:t>
      </w:r>
      <w:r w:rsidR="00BB2CB1" w:rsidRPr="0021502B">
        <w:rPr>
          <w:rFonts w:ascii="Times New Roman" w:hAnsi="Times New Roman" w:cs="Times New Roman"/>
          <w:sz w:val="24"/>
          <w:szCs w:val="24"/>
        </w:rPr>
        <w:t>.</w:t>
      </w:r>
    </w:p>
    <w:p w14:paraId="53539332" w14:textId="77777777" w:rsidR="00583140" w:rsidRDefault="00583140" w:rsidP="00583140">
      <w:pPr>
        <w:rPr>
          <w:rFonts w:ascii="Times New Roman" w:hAnsi="Times New Roman" w:cs="Times New Roman"/>
          <w:sz w:val="24"/>
          <w:szCs w:val="24"/>
        </w:rPr>
      </w:pPr>
    </w:p>
    <w:p w14:paraId="4A92D9D1" w14:textId="74597208" w:rsidR="00583140" w:rsidRPr="00E8339F" w:rsidRDefault="00583140" w:rsidP="00583140">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[Subhead] </w:t>
      </w:r>
      <w:r w:rsidRPr="00E8339F">
        <w:rPr>
          <w:rFonts w:ascii="Times New Roman" w:hAnsi="Times New Roman" w:cs="Times New Roman"/>
          <w:b/>
          <w:bCs/>
          <w:sz w:val="24"/>
          <w:szCs w:val="24"/>
        </w:rPr>
        <w:t>Other merger and acquisition recommendations</w:t>
      </w:r>
    </w:p>
    <w:p w14:paraId="35EBB0E9" w14:textId="6CE28EF2" w:rsidR="00FB2511" w:rsidRPr="0021502B" w:rsidRDefault="00AE66A3" w:rsidP="00583140">
      <w:pPr>
        <w:spacing w:after="0" w:line="240" w:lineRule="auto"/>
        <w:rPr>
          <w:rFonts w:ascii="Times New Roman" w:hAnsi="Times New Roman" w:cs="Times New Roman"/>
          <w:sz w:val="24"/>
          <w:szCs w:val="24"/>
        </w:rPr>
      </w:pPr>
      <w:r w:rsidRPr="0021502B">
        <w:rPr>
          <w:rFonts w:ascii="Times New Roman" w:hAnsi="Times New Roman" w:cs="Times New Roman"/>
          <w:sz w:val="24"/>
          <w:szCs w:val="24"/>
        </w:rPr>
        <w:t>ICBA urged t</w:t>
      </w:r>
      <w:r w:rsidR="00860094" w:rsidRPr="0021502B">
        <w:rPr>
          <w:rFonts w:ascii="Times New Roman" w:hAnsi="Times New Roman" w:cs="Times New Roman"/>
          <w:sz w:val="24"/>
          <w:szCs w:val="24"/>
        </w:rPr>
        <w:t xml:space="preserve">he CFPB </w:t>
      </w:r>
      <w:r w:rsidRPr="0021502B">
        <w:rPr>
          <w:rFonts w:ascii="Times New Roman" w:hAnsi="Times New Roman" w:cs="Times New Roman"/>
          <w:sz w:val="24"/>
          <w:szCs w:val="24"/>
        </w:rPr>
        <w:t xml:space="preserve">to </w:t>
      </w:r>
      <w:r w:rsidR="00860094" w:rsidRPr="0021502B">
        <w:rPr>
          <w:rFonts w:ascii="Times New Roman" w:hAnsi="Times New Roman" w:cs="Times New Roman"/>
          <w:sz w:val="24"/>
          <w:szCs w:val="24"/>
        </w:rPr>
        <w:t xml:space="preserve">recognize the challenges rural communities </w:t>
      </w:r>
      <w:r w:rsidR="003950E6" w:rsidRPr="0021502B">
        <w:rPr>
          <w:rFonts w:ascii="Times New Roman" w:hAnsi="Times New Roman" w:cs="Times New Roman"/>
          <w:sz w:val="24"/>
          <w:szCs w:val="24"/>
        </w:rPr>
        <w:t xml:space="preserve">face </w:t>
      </w:r>
      <w:r w:rsidR="00860094" w:rsidRPr="0021502B">
        <w:rPr>
          <w:rFonts w:ascii="Times New Roman" w:hAnsi="Times New Roman" w:cs="Times New Roman"/>
          <w:sz w:val="24"/>
          <w:szCs w:val="24"/>
        </w:rPr>
        <w:t>if they lose their community bank due to a merger with a larger ban</w:t>
      </w:r>
      <w:r w:rsidR="00426BD6" w:rsidRPr="0021502B">
        <w:rPr>
          <w:rFonts w:ascii="Times New Roman" w:hAnsi="Times New Roman" w:cs="Times New Roman"/>
          <w:sz w:val="24"/>
          <w:szCs w:val="24"/>
        </w:rPr>
        <w:t>k</w:t>
      </w:r>
      <w:r w:rsidR="00860094" w:rsidRPr="0021502B">
        <w:rPr>
          <w:rFonts w:ascii="Times New Roman" w:hAnsi="Times New Roman" w:cs="Times New Roman"/>
          <w:sz w:val="24"/>
          <w:szCs w:val="24"/>
        </w:rPr>
        <w:t xml:space="preserve">, which is why ICBA </w:t>
      </w:r>
      <w:r w:rsidR="003C5A83" w:rsidRPr="0021502B">
        <w:rPr>
          <w:rFonts w:ascii="Times New Roman" w:hAnsi="Times New Roman" w:cs="Times New Roman"/>
          <w:sz w:val="24"/>
          <w:szCs w:val="24"/>
        </w:rPr>
        <w:t>encourag</w:t>
      </w:r>
      <w:r w:rsidR="000D2B5A" w:rsidRPr="0021502B">
        <w:rPr>
          <w:rFonts w:ascii="Times New Roman" w:hAnsi="Times New Roman" w:cs="Times New Roman"/>
          <w:sz w:val="24"/>
          <w:szCs w:val="24"/>
        </w:rPr>
        <w:t xml:space="preserve">ed </w:t>
      </w:r>
      <w:r w:rsidR="003C5A83" w:rsidRPr="0021502B">
        <w:rPr>
          <w:rFonts w:ascii="Times New Roman" w:hAnsi="Times New Roman" w:cs="Times New Roman"/>
          <w:sz w:val="24"/>
          <w:szCs w:val="24"/>
        </w:rPr>
        <w:t>the CFPB to minimize and significantly reduce regulatory burdens</w:t>
      </w:r>
      <w:r w:rsidR="00186598">
        <w:rPr>
          <w:rFonts w:ascii="Times New Roman" w:hAnsi="Times New Roman" w:cs="Times New Roman"/>
          <w:sz w:val="24"/>
          <w:szCs w:val="24"/>
        </w:rPr>
        <w:t>,</w:t>
      </w:r>
      <w:r w:rsidR="003C5A83" w:rsidRPr="0021502B">
        <w:rPr>
          <w:rFonts w:ascii="Times New Roman" w:hAnsi="Times New Roman" w:cs="Times New Roman"/>
          <w:sz w:val="24"/>
          <w:szCs w:val="24"/>
        </w:rPr>
        <w:t xml:space="preserve"> which </w:t>
      </w:r>
      <w:r w:rsidR="00FB2511">
        <w:rPr>
          <w:rFonts w:ascii="Times New Roman" w:hAnsi="Times New Roman" w:cs="Times New Roman"/>
          <w:sz w:val="24"/>
          <w:szCs w:val="24"/>
        </w:rPr>
        <w:t>increase</w:t>
      </w:r>
      <w:r w:rsidR="003C5A83" w:rsidRPr="0021502B">
        <w:rPr>
          <w:rFonts w:ascii="Times New Roman" w:hAnsi="Times New Roman" w:cs="Times New Roman"/>
          <w:sz w:val="24"/>
          <w:szCs w:val="24"/>
        </w:rPr>
        <w:t xml:space="preserve"> banking consolidation by driving up costs for small lenders.</w:t>
      </w:r>
    </w:p>
    <w:p w14:paraId="51D63C8B" w14:textId="4BA65978" w:rsidR="00186ACD" w:rsidRPr="0021502B" w:rsidRDefault="0012562B" w:rsidP="00583140">
      <w:pPr>
        <w:spacing w:after="0" w:line="240" w:lineRule="auto"/>
        <w:rPr>
          <w:rFonts w:ascii="Times New Roman" w:hAnsi="Times New Roman" w:cs="Times New Roman"/>
          <w:sz w:val="24"/>
          <w:szCs w:val="24"/>
        </w:rPr>
      </w:pPr>
      <w:r w:rsidRPr="0021502B">
        <w:rPr>
          <w:rFonts w:ascii="Times New Roman" w:hAnsi="Times New Roman" w:cs="Times New Roman"/>
          <w:sz w:val="24"/>
          <w:szCs w:val="24"/>
        </w:rPr>
        <w:t xml:space="preserve">Additionally, </w:t>
      </w:r>
      <w:r w:rsidR="00B81891" w:rsidRPr="0021502B">
        <w:rPr>
          <w:rFonts w:ascii="Times New Roman" w:hAnsi="Times New Roman" w:cs="Times New Roman"/>
          <w:sz w:val="24"/>
          <w:szCs w:val="24"/>
        </w:rPr>
        <w:t xml:space="preserve">the </w:t>
      </w:r>
      <w:r w:rsidR="00186ACD" w:rsidRPr="0021502B">
        <w:rPr>
          <w:rFonts w:ascii="Times New Roman" w:hAnsi="Times New Roman" w:cs="Times New Roman"/>
          <w:sz w:val="24"/>
          <w:szCs w:val="24"/>
        </w:rPr>
        <w:t xml:space="preserve">CFPB could highlight the need to replace the antiquated requirements imposed by the Department of Justice and the Federal Reserve that prevent community banks from merging with other local community banks. As written, it makes it much easier for a community bank to merge with a larger, distant bank than a small local bank that would result in a stronger local institution that could serve rural communities for years to come. </w:t>
      </w:r>
    </w:p>
    <w:p w14:paraId="3B40B50C" w14:textId="225DD7F6" w:rsidR="00B1573A" w:rsidRPr="0021502B" w:rsidRDefault="00E94E58">
      <w:pPr>
        <w:rPr>
          <w:rFonts w:ascii="Times New Roman" w:hAnsi="Times New Roman" w:cs="Times New Roman"/>
          <w:sz w:val="24"/>
          <w:szCs w:val="24"/>
        </w:rPr>
      </w:pPr>
      <w:r w:rsidRPr="0021502B">
        <w:rPr>
          <w:rFonts w:ascii="Times New Roman" w:hAnsi="Times New Roman" w:cs="Times New Roman"/>
          <w:sz w:val="24"/>
          <w:szCs w:val="24"/>
        </w:rPr>
        <w:t xml:space="preserve">Just as important, </w:t>
      </w:r>
      <w:r w:rsidR="00FD1083" w:rsidRPr="0021502B">
        <w:rPr>
          <w:rFonts w:ascii="Times New Roman" w:hAnsi="Times New Roman" w:cs="Times New Roman"/>
          <w:sz w:val="24"/>
          <w:szCs w:val="24"/>
        </w:rPr>
        <w:t>the CFPB should be wary of credit union</w:t>
      </w:r>
      <w:r w:rsidR="00426BD6" w:rsidRPr="0021502B">
        <w:rPr>
          <w:rFonts w:ascii="Times New Roman" w:hAnsi="Times New Roman" w:cs="Times New Roman"/>
          <w:sz w:val="24"/>
          <w:szCs w:val="24"/>
        </w:rPr>
        <w:t>s</w:t>
      </w:r>
      <w:r w:rsidR="00FD1083" w:rsidRPr="0021502B">
        <w:rPr>
          <w:rFonts w:ascii="Times New Roman" w:hAnsi="Times New Roman" w:cs="Times New Roman"/>
          <w:sz w:val="24"/>
          <w:szCs w:val="24"/>
        </w:rPr>
        <w:t xml:space="preserve"> purchasing community banks. </w:t>
      </w:r>
      <w:r w:rsidR="0013154B" w:rsidRPr="0021502B">
        <w:rPr>
          <w:rFonts w:ascii="Times New Roman" w:hAnsi="Times New Roman" w:cs="Times New Roman"/>
          <w:sz w:val="24"/>
          <w:szCs w:val="24"/>
        </w:rPr>
        <w:t>When a community bank is purchased by a large outside credit union, the result is often a significant lessening of credit to a community</w:t>
      </w:r>
      <w:r w:rsidR="00186598">
        <w:rPr>
          <w:rFonts w:ascii="Times New Roman" w:hAnsi="Times New Roman" w:cs="Times New Roman"/>
          <w:sz w:val="24"/>
          <w:szCs w:val="24"/>
        </w:rPr>
        <w:t>,</w:t>
      </w:r>
      <w:r w:rsidR="0013154B" w:rsidRPr="0021502B">
        <w:rPr>
          <w:rFonts w:ascii="Times New Roman" w:hAnsi="Times New Roman" w:cs="Times New Roman"/>
          <w:sz w:val="24"/>
          <w:szCs w:val="24"/>
        </w:rPr>
        <w:t xml:space="preserve"> in addition to a reduced tax base to sustain the community’s services.</w:t>
      </w:r>
    </w:p>
    <w:p w14:paraId="143FDECE" w14:textId="612A3873" w:rsidR="00E52E05" w:rsidRPr="0021502B" w:rsidRDefault="00982817" w:rsidP="00E52E05">
      <w:pPr>
        <w:rPr>
          <w:rFonts w:ascii="Times New Roman" w:hAnsi="Times New Roman" w:cs="Times New Roman"/>
          <w:sz w:val="24"/>
          <w:szCs w:val="24"/>
        </w:rPr>
      </w:pPr>
      <w:r>
        <w:rPr>
          <w:rFonts w:ascii="Times New Roman" w:hAnsi="Times New Roman" w:cs="Times New Roman"/>
          <w:sz w:val="24"/>
          <w:szCs w:val="24"/>
        </w:rPr>
        <w:t xml:space="preserve">In addition, </w:t>
      </w:r>
      <w:r w:rsidR="00E52E05" w:rsidRPr="0021502B">
        <w:rPr>
          <w:rFonts w:ascii="Times New Roman" w:hAnsi="Times New Roman" w:cs="Times New Roman"/>
          <w:sz w:val="24"/>
          <w:szCs w:val="24"/>
        </w:rPr>
        <w:t xml:space="preserve">ICBA </w:t>
      </w:r>
      <w:r w:rsidR="006F3A29" w:rsidRPr="0021502B">
        <w:rPr>
          <w:rFonts w:ascii="Times New Roman" w:hAnsi="Times New Roman" w:cs="Times New Roman"/>
          <w:sz w:val="24"/>
          <w:szCs w:val="24"/>
        </w:rPr>
        <w:t xml:space="preserve">urged the CFPB to develop a </w:t>
      </w:r>
      <w:r w:rsidR="002D2586" w:rsidRPr="0021502B">
        <w:rPr>
          <w:rFonts w:ascii="Times New Roman" w:hAnsi="Times New Roman" w:cs="Times New Roman"/>
          <w:sz w:val="24"/>
          <w:szCs w:val="24"/>
        </w:rPr>
        <w:t xml:space="preserve">more useful </w:t>
      </w:r>
      <w:r w:rsidR="006F3A29" w:rsidRPr="0021502B">
        <w:rPr>
          <w:rFonts w:ascii="Times New Roman" w:hAnsi="Times New Roman" w:cs="Times New Roman"/>
          <w:sz w:val="24"/>
          <w:szCs w:val="24"/>
        </w:rPr>
        <w:t xml:space="preserve">term than </w:t>
      </w:r>
      <w:r w:rsidR="00186598">
        <w:rPr>
          <w:rFonts w:ascii="Times New Roman" w:hAnsi="Times New Roman" w:cs="Times New Roman"/>
          <w:sz w:val="24"/>
          <w:szCs w:val="24"/>
        </w:rPr>
        <w:t>“</w:t>
      </w:r>
      <w:r w:rsidR="00E52E05" w:rsidRPr="0021502B">
        <w:rPr>
          <w:rFonts w:ascii="Times New Roman" w:hAnsi="Times New Roman" w:cs="Times New Roman"/>
          <w:sz w:val="24"/>
          <w:szCs w:val="24"/>
        </w:rPr>
        <w:t>banking deserts,</w:t>
      </w:r>
      <w:r w:rsidR="00186598">
        <w:rPr>
          <w:rFonts w:ascii="Times New Roman" w:hAnsi="Times New Roman" w:cs="Times New Roman"/>
          <w:sz w:val="24"/>
          <w:szCs w:val="24"/>
        </w:rPr>
        <w:t>”</w:t>
      </w:r>
      <w:r w:rsidR="00E52E05" w:rsidRPr="0021502B">
        <w:rPr>
          <w:rFonts w:ascii="Times New Roman" w:hAnsi="Times New Roman" w:cs="Times New Roman"/>
          <w:sz w:val="24"/>
          <w:szCs w:val="24"/>
        </w:rPr>
        <w:t xml:space="preserve"> </w:t>
      </w:r>
      <w:r w:rsidR="002D2586" w:rsidRPr="0021502B">
        <w:rPr>
          <w:rFonts w:ascii="Times New Roman" w:hAnsi="Times New Roman" w:cs="Times New Roman"/>
          <w:sz w:val="24"/>
          <w:szCs w:val="24"/>
        </w:rPr>
        <w:t xml:space="preserve">as rural </w:t>
      </w:r>
      <w:r w:rsidR="00781FC5" w:rsidRPr="0021502B">
        <w:rPr>
          <w:rFonts w:ascii="Times New Roman" w:hAnsi="Times New Roman" w:cs="Times New Roman"/>
          <w:sz w:val="24"/>
          <w:szCs w:val="24"/>
        </w:rPr>
        <w:t xml:space="preserve">residents </w:t>
      </w:r>
      <w:r w:rsidR="00426BD6" w:rsidRPr="0021502B">
        <w:rPr>
          <w:rFonts w:ascii="Times New Roman" w:hAnsi="Times New Roman" w:cs="Times New Roman"/>
          <w:sz w:val="24"/>
          <w:szCs w:val="24"/>
        </w:rPr>
        <w:t xml:space="preserve">can </w:t>
      </w:r>
      <w:r w:rsidR="008667D3" w:rsidRPr="0021502B">
        <w:rPr>
          <w:rFonts w:ascii="Times New Roman" w:hAnsi="Times New Roman" w:cs="Times New Roman"/>
          <w:sz w:val="24"/>
          <w:szCs w:val="24"/>
        </w:rPr>
        <w:t xml:space="preserve">often </w:t>
      </w:r>
      <w:r w:rsidR="00781FC5" w:rsidRPr="0021502B">
        <w:rPr>
          <w:rFonts w:ascii="Times New Roman" w:hAnsi="Times New Roman" w:cs="Times New Roman"/>
          <w:sz w:val="24"/>
          <w:szCs w:val="24"/>
        </w:rPr>
        <w:t xml:space="preserve">travel more than 10 miles to access regular services due to </w:t>
      </w:r>
      <w:r w:rsidR="008667D3" w:rsidRPr="0021502B">
        <w:rPr>
          <w:rFonts w:ascii="Times New Roman" w:hAnsi="Times New Roman" w:cs="Times New Roman"/>
          <w:sz w:val="24"/>
          <w:szCs w:val="24"/>
        </w:rPr>
        <w:t xml:space="preserve">rural </w:t>
      </w:r>
      <w:r w:rsidR="00781FC5" w:rsidRPr="0021502B">
        <w:rPr>
          <w:rFonts w:ascii="Times New Roman" w:hAnsi="Times New Roman" w:cs="Times New Roman"/>
          <w:sz w:val="24"/>
          <w:szCs w:val="24"/>
        </w:rPr>
        <w:t>geography</w:t>
      </w:r>
      <w:r w:rsidR="00B71263" w:rsidRPr="0021502B">
        <w:rPr>
          <w:rFonts w:ascii="Times New Roman" w:hAnsi="Times New Roman" w:cs="Times New Roman"/>
          <w:sz w:val="24"/>
          <w:szCs w:val="24"/>
        </w:rPr>
        <w:t>.</w:t>
      </w:r>
    </w:p>
    <w:p w14:paraId="6DCF72B3" w14:textId="2BC484FF" w:rsidR="00B71263" w:rsidRDefault="00B71263" w:rsidP="00E52E05">
      <w:pPr>
        <w:rPr>
          <w:rFonts w:ascii="Times New Roman" w:hAnsi="Times New Roman" w:cs="Times New Roman"/>
          <w:sz w:val="24"/>
          <w:szCs w:val="24"/>
        </w:rPr>
      </w:pPr>
      <w:r w:rsidRPr="0021502B">
        <w:rPr>
          <w:rFonts w:ascii="Times New Roman" w:hAnsi="Times New Roman" w:cs="Times New Roman"/>
          <w:sz w:val="24"/>
          <w:szCs w:val="24"/>
        </w:rPr>
        <w:t>ICBA looks forward to continuing discussions with the CFPB</w:t>
      </w:r>
      <w:r w:rsidR="00426BD6" w:rsidRPr="0021502B">
        <w:rPr>
          <w:rFonts w:ascii="Times New Roman" w:hAnsi="Times New Roman" w:cs="Times New Roman"/>
          <w:sz w:val="24"/>
          <w:szCs w:val="24"/>
        </w:rPr>
        <w:t xml:space="preserve"> </w:t>
      </w:r>
      <w:r w:rsidR="00186598" w:rsidRPr="0021502B">
        <w:rPr>
          <w:rFonts w:ascii="Times New Roman" w:hAnsi="Times New Roman" w:cs="Times New Roman"/>
          <w:sz w:val="24"/>
          <w:szCs w:val="24"/>
        </w:rPr>
        <w:t>to</w:t>
      </w:r>
      <w:r w:rsidR="00426BD6" w:rsidRPr="0021502B">
        <w:rPr>
          <w:rFonts w:ascii="Times New Roman" w:hAnsi="Times New Roman" w:cs="Times New Roman"/>
          <w:sz w:val="24"/>
          <w:szCs w:val="24"/>
        </w:rPr>
        <w:t xml:space="preserve"> properly frame the issues that determine access to credit in rural America. </w:t>
      </w:r>
      <w:r w:rsidR="005C6600" w:rsidRPr="0021502B">
        <w:rPr>
          <w:rFonts w:ascii="Times New Roman" w:hAnsi="Times New Roman" w:cs="Times New Roman"/>
          <w:sz w:val="24"/>
          <w:szCs w:val="24"/>
        </w:rPr>
        <w:t>Community banks play a crucial role in s</w:t>
      </w:r>
      <w:r w:rsidR="00641FDA" w:rsidRPr="0021502B">
        <w:rPr>
          <w:rFonts w:ascii="Times New Roman" w:hAnsi="Times New Roman" w:cs="Times New Roman"/>
          <w:sz w:val="24"/>
          <w:szCs w:val="24"/>
        </w:rPr>
        <w:t>ustaining the viability of rural America and serving its credit need</w:t>
      </w:r>
      <w:r w:rsidR="003A46B2" w:rsidRPr="0021502B">
        <w:rPr>
          <w:rFonts w:ascii="Times New Roman" w:hAnsi="Times New Roman" w:cs="Times New Roman"/>
          <w:sz w:val="24"/>
          <w:szCs w:val="24"/>
        </w:rPr>
        <w:t xml:space="preserve">s, and ICBA </w:t>
      </w:r>
      <w:r w:rsidR="00BC77C4" w:rsidRPr="0021502B">
        <w:rPr>
          <w:rFonts w:ascii="Times New Roman" w:hAnsi="Times New Roman" w:cs="Times New Roman"/>
          <w:sz w:val="24"/>
          <w:szCs w:val="24"/>
        </w:rPr>
        <w:t xml:space="preserve">is dedicated to ensuring </w:t>
      </w:r>
      <w:r w:rsidR="0007051F" w:rsidRPr="0021502B">
        <w:rPr>
          <w:rFonts w:ascii="Times New Roman" w:hAnsi="Times New Roman" w:cs="Times New Roman"/>
          <w:sz w:val="24"/>
          <w:szCs w:val="24"/>
        </w:rPr>
        <w:t xml:space="preserve">the </w:t>
      </w:r>
      <w:r w:rsidR="0007051F" w:rsidRPr="0021502B">
        <w:rPr>
          <w:rFonts w:ascii="Times New Roman" w:hAnsi="Times New Roman" w:cs="Times New Roman"/>
          <w:sz w:val="24"/>
          <w:szCs w:val="24"/>
        </w:rPr>
        <w:lastRenderedPageBreak/>
        <w:t xml:space="preserve">role of </w:t>
      </w:r>
      <w:r w:rsidR="00BC77C4" w:rsidRPr="0021502B">
        <w:rPr>
          <w:rFonts w:ascii="Times New Roman" w:hAnsi="Times New Roman" w:cs="Times New Roman"/>
          <w:sz w:val="24"/>
          <w:szCs w:val="24"/>
        </w:rPr>
        <w:t xml:space="preserve">community banks </w:t>
      </w:r>
      <w:r w:rsidR="0007051F" w:rsidRPr="0021502B">
        <w:rPr>
          <w:rFonts w:ascii="Times New Roman" w:hAnsi="Times New Roman" w:cs="Times New Roman"/>
          <w:sz w:val="24"/>
          <w:szCs w:val="24"/>
        </w:rPr>
        <w:t xml:space="preserve">is properly communicated to policymakers so community banks </w:t>
      </w:r>
      <w:r w:rsidR="00746E21" w:rsidRPr="0021502B">
        <w:rPr>
          <w:rFonts w:ascii="Times New Roman" w:hAnsi="Times New Roman" w:cs="Times New Roman"/>
          <w:sz w:val="24"/>
          <w:szCs w:val="24"/>
        </w:rPr>
        <w:t xml:space="preserve">can </w:t>
      </w:r>
      <w:r w:rsidR="00BC77C4" w:rsidRPr="0021502B">
        <w:rPr>
          <w:rFonts w:ascii="Times New Roman" w:hAnsi="Times New Roman" w:cs="Times New Roman"/>
          <w:sz w:val="24"/>
          <w:szCs w:val="24"/>
        </w:rPr>
        <w:t xml:space="preserve">remain </w:t>
      </w:r>
      <w:r w:rsidR="0007051F" w:rsidRPr="0021502B">
        <w:rPr>
          <w:rFonts w:ascii="Times New Roman" w:hAnsi="Times New Roman" w:cs="Times New Roman"/>
          <w:sz w:val="24"/>
          <w:szCs w:val="24"/>
        </w:rPr>
        <w:t xml:space="preserve">viable and </w:t>
      </w:r>
      <w:r w:rsidR="00426BD6" w:rsidRPr="0021502B">
        <w:rPr>
          <w:rFonts w:ascii="Times New Roman" w:hAnsi="Times New Roman" w:cs="Times New Roman"/>
          <w:sz w:val="24"/>
          <w:szCs w:val="24"/>
        </w:rPr>
        <w:t>compete on a level playing field</w:t>
      </w:r>
      <w:r w:rsidR="00641FDA" w:rsidRPr="0021502B">
        <w:rPr>
          <w:rFonts w:ascii="Times New Roman" w:hAnsi="Times New Roman" w:cs="Times New Roman"/>
          <w:sz w:val="24"/>
          <w:szCs w:val="24"/>
        </w:rPr>
        <w:t xml:space="preserve">. </w:t>
      </w:r>
      <w:r w:rsidR="0078442A" w:rsidRPr="0021502B">
        <w:rPr>
          <w:rFonts w:ascii="Times New Roman" w:hAnsi="Times New Roman" w:cs="Times New Roman"/>
          <w:sz w:val="24"/>
          <w:szCs w:val="24"/>
        </w:rPr>
        <w:t xml:space="preserve"> </w:t>
      </w:r>
    </w:p>
    <w:p w14:paraId="009F6E39" w14:textId="77777777" w:rsidR="00186598" w:rsidRPr="0021502B" w:rsidRDefault="00186598" w:rsidP="00E52E05">
      <w:pPr>
        <w:rPr>
          <w:rFonts w:ascii="Times New Roman" w:hAnsi="Times New Roman" w:cs="Times New Roman"/>
          <w:sz w:val="24"/>
          <w:szCs w:val="24"/>
        </w:rPr>
      </w:pPr>
    </w:p>
    <w:p w14:paraId="00E89B4C" w14:textId="1617CFD9" w:rsidR="003324A9" w:rsidRDefault="0021502B">
      <w:pPr>
        <w:rPr>
          <w:rFonts w:ascii="Times New Roman" w:hAnsi="Times New Roman" w:cs="Times New Roman"/>
          <w:sz w:val="24"/>
          <w:szCs w:val="24"/>
        </w:rPr>
      </w:pPr>
      <w:r w:rsidRPr="0021502B">
        <w:rPr>
          <w:rFonts w:ascii="Times New Roman" w:hAnsi="Times New Roman" w:cs="Times New Roman"/>
          <w:sz w:val="24"/>
          <w:szCs w:val="24"/>
        </w:rPr>
        <w:t>Mark Scanlan (mark.scanlan@icba.org) is ICBA’s senior vice president of agriculture and rural policy.</w:t>
      </w:r>
    </w:p>
    <w:p w14:paraId="2A8D6C22" w14:textId="0A1E1FFC" w:rsidR="0021502B" w:rsidRDefault="0021502B">
      <w:pPr>
        <w:rPr>
          <w:rFonts w:ascii="Times New Roman" w:hAnsi="Times New Roman" w:cs="Times New Roman"/>
          <w:sz w:val="24"/>
          <w:szCs w:val="24"/>
        </w:rPr>
      </w:pPr>
      <w:r>
        <w:rPr>
          <w:rFonts w:ascii="Times New Roman" w:hAnsi="Times New Roman" w:cs="Times New Roman"/>
          <w:sz w:val="24"/>
          <w:szCs w:val="24"/>
        </w:rPr>
        <w:t>[ends]</w:t>
      </w:r>
    </w:p>
    <w:p w14:paraId="40BDC9FC" w14:textId="22F32A85" w:rsidR="00EC07E1" w:rsidRDefault="00EC07E1">
      <w:pPr>
        <w:rPr>
          <w:rFonts w:ascii="Times New Roman" w:hAnsi="Times New Roman" w:cs="Times New Roman"/>
          <w:sz w:val="24"/>
          <w:szCs w:val="24"/>
        </w:rPr>
      </w:pPr>
    </w:p>
    <w:p w14:paraId="325D5F5D" w14:textId="1B74980D" w:rsidR="00186598" w:rsidRDefault="00EC07E1">
      <w:pPr>
        <w:rPr>
          <w:rFonts w:ascii="Times New Roman" w:hAnsi="Times New Roman" w:cs="Times New Roman"/>
          <w:sz w:val="24"/>
          <w:szCs w:val="24"/>
        </w:rPr>
      </w:pPr>
      <w:r>
        <w:rPr>
          <w:rFonts w:ascii="Times New Roman" w:hAnsi="Times New Roman" w:cs="Times New Roman"/>
          <w:sz w:val="24"/>
          <w:szCs w:val="24"/>
        </w:rPr>
        <w:t>[pull quote</w:t>
      </w:r>
      <w:r w:rsidR="00186598">
        <w:rPr>
          <w:rFonts w:ascii="Times New Roman" w:hAnsi="Times New Roman" w:cs="Times New Roman"/>
          <w:sz w:val="24"/>
          <w:szCs w:val="24"/>
        </w:rPr>
        <w:t>s</w:t>
      </w:r>
      <w:r>
        <w:rPr>
          <w:rFonts w:ascii="Times New Roman" w:hAnsi="Times New Roman" w:cs="Times New Roman"/>
          <w:sz w:val="24"/>
          <w:szCs w:val="24"/>
        </w:rPr>
        <w:t>]</w:t>
      </w:r>
    </w:p>
    <w:p w14:paraId="0F951A24" w14:textId="150EDA30" w:rsidR="00186598" w:rsidRDefault="00186598">
      <w:pPr>
        <w:rPr>
          <w:rFonts w:ascii="Times New Roman" w:hAnsi="Times New Roman" w:cs="Times New Roman"/>
          <w:sz w:val="24"/>
          <w:szCs w:val="24"/>
        </w:rPr>
      </w:pPr>
      <w:r w:rsidRPr="008158EF">
        <w:rPr>
          <w:rFonts w:ascii="Times New Roman" w:hAnsi="Times New Roman" w:cs="Times New Roman"/>
          <w:sz w:val="24"/>
          <w:szCs w:val="24"/>
        </w:rPr>
        <w:t>ICBA argues CFPB’s proposal exempting banks with fewer than 25 business loans annually is simply too small and would increase regulatory burdens and possibly lead to further consolidation—leaving fewer banks to serve rural America.</w:t>
      </w:r>
    </w:p>
    <w:p w14:paraId="75D51D94" w14:textId="77777777" w:rsidR="00186598" w:rsidRDefault="00186598">
      <w:pPr>
        <w:rPr>
          <w:rFonts w:ascii="Times New Roman" w:hAnsi="Times New Roman" w:cs="Times New Roman"/>
          <w:sz w:val="24"/>
          <w:szCs w:val="24"/>
        </w:rPr>
      </w:pPr>
    </w:p>
    <w:p w14:paraId="660722D3" w14:textId="7DC49C7F" w:rsidR="00982817" w:rsidRDefault="00982817">
      <w:pPr>
        <w:rPr>
          <w:rFonts w:ascii="Times New Roman" w:hAnsi="Times New Roman" w:cs="Times New Roman"/>
          <w:sz w:val="24"/>
          <w:szCs w:val="24"/>
        </w:rPr>
      </w:pPr>
      <w:r>
        <w:rPr>
          <w:rFonts w:ascii="Times New Roman" w:eastAsia="Calibri" w:hAnsi="Times New Roman" w:cs="Times New Roman"/>
          <w:sz w:val="24"/>
          <w:szCs w:val="24"/>
        </w:rPr>
        <w:t>C</w:t>
      </w:r>
      <w:r w:rsidRPr="0021502B">
        <w:rPr>
          <w:rFonts w:ascii="Times New Roman" w:eastAsia="Calibri" w:hAnsi="Times New Roman" w:cs="Times New Roman"/>
          <w:sz w:val="24"/>
          <w:szCs w:val="24"/>
        </w:rPr>
        <w:t xml:space="preserve">ommunity banks play a critical role in providing access to basic banking services that sustain </w:t>
      </w:r>
      <w:r w:rsidRPr="0021502B">
        <w:rPr>
          <w:rFonts w:ascii="Times New Roman" w:hAnsi="Times New Roman" w:cs="Times New Roman"/>
          <w:sz w:val="24"/>
          <w:szCs w:val="24"/>
        </w:rPr>
        <w:t>job creation, rural housing, education and other important local needs.</w:t>
      </w:r>
    </w:p>
    <w:p w14:paraId="08061D3A" w14:textId="7CAF51D0" w:rsidR="00982817" w:rsidRPr="0021502B" w:rsidRDefault="00982817">
      <w:pPr>
        <w:rPr>
          <w:rFonts w:ascii="Times New Roman" w:hAnsi="Times New Roman" w:cs="Times New Roman"/>
          <w:sz w:val="24"/>
          <w:szCs w:val="24"/>
        </w:rPr>
      </w:pPr>
      <w:r w:rsidRPr="0021502B">
        <w:rPr>
          <w:rFonts w:ascii="Times New Roman" w:hAnsi="Times New Roman" w:cs="Times New Roman"/>
          <w:sz w:val="24"/>
          <w:szCs w:val="24"/>
        </w:rPr>
        <w:t xml:space="preserve"> </w:t>
      </w:r>
    </w:p>
    <w:sectPr w:rsidR="00982817" w:rsidRPr="002150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35406D"/>
    <w:multiLevelType w:val="multilevel"/>
    <w:tmpl w:val="CAB2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9A39B7"/>
    <w:multiLevelType w:val="hybridMultilevel"/>
    <w:tmpl w:val="713A214C"/>
    <w:lvl w:ilvl="0" w:tplc="34585E1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6756649">
    <w:abstractNumId w:val="0"/>
  </w:num>
  <w:num w:numId="2" w16cid:durableId="89280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4A9"/>
    <w:rsid w:val="00007660"/>
    <w:rsid w:val="0003507A"/>
    <w:rsid w:val="0007051F"/>
    <w:rsid w:val="000A0727"/>
    <w:rsid w:val="000D2B5A"/>
    <w:rsid w:val="000D417D"/>
    <w:rsid w:val="000D72D1"/>
    <w:rsid w:val="000F1142"/>
    <w:rsid w:val="001120C2"/>
    <w:rsid w:val="00114152"/>
    <w:rsid w:val="0012562B"/>
    <w:rsid w:val="0013154B"/>
    <w:rsid w:val="00186598"/>
    <w:rsid w:val="00186ACD"/>
    <w:rsid w:val="00197191"/>
    <w:rsid w:val="001F70A2"/>
    <w:rsid w:val="002144FF"/>
    <w:rsid w:val="0021502B"/>
    <w:rsid w:val="002359E8"/>
    <w:rsid w:val="00254606"/>
    <w:rsid w:val="00292BC7"/>
    <w:rsid w:val="002A3C31"/>
    <w:rsid w:val="002B1AE8"/>
    <w:rsid w:val="002D0E80"/>
    <w:rsid w:val="002D2325"/>
    <w:rsid w:val="002D2586"/>
    <w:rsid w:val="002F5CF6"/>
    <w:rsid w:val="00304D04"/>
    <w:rsid w:val="0031069B"/>
    <w:rsid w:val="003324A9"/>
    <w:rsid w:val="003368E7"/>
    <w:rsid w:val="003401B3"/>
    <w:rsid w:val="003950E6"/>
    <w:rsid w:val="00396611"/>
    <w:rsid w:val="003A46B2"/>
    <w:rsid w:val="003A66A7"/>
    <w:rsid w:val="003B4D7B"/>
    <w:rsid w:val="003C5A83"/>
    <w:rsid w:val="003C6AD9"/>
    <w:rsid w:val="003C7238"/>
    <w:rsid w:val="003D4F92"/>
    <w:rsid w:val="003E4939"/>
    <w:rsid w:val="003F263F"/>
    <w:rsid w:val="003F5AC5"/>
    <w:rsid w:val="0040627C"/>
    <w:rsid w:val="00426BD6"/>
    <w:rsid w:val="00464FE4"/>
    <w:rsid w:val="00481AE6"/>
    <w:rsid w:val="00495B49"/>
    <w:rsid w:val="00500F51"/>
    <w:rsid w:val="005158E1"/>
    <w:rsid w:val="00531BBB"/>
    <w:rsid w:val="00583140"/>
    <w:rsid w:val="005C6600"/>
    <w:rsid w:val="00602BCC"/>
    <w:rsid w:val="00640705"/>
    <w:rsid w:val="00641FDA"/>
    <w:rsid w:val="006569C7"/>
    <w:rsid w:val="00675201"/>
    <w:rsid w:val="006966B4"/>
    <w:rsid w:val="006B7BBE"/>
    <w:rsid w:val="006F3A29"/>
    <w:rsid w:val="007158D8"/>
    <w:rsid w:val="0072161E"/>
    <w:rsid w:val="00746E21"/>
    <w:rsid w:val="00781FC5"/>
    <w:rsid w:val="0078338B"/>
    <w:rsid w:val="0078442A"/>
    <w:rsid w:val="007A34E7"/>
    <w:rsid w:val="007E6DE9"/>
    <w:rsid w:val="00860094"/>
    <w:rsid w:val="00861334"/>
    <w:rsid w:val="008667D3"/>
    <w:rsid w:val="008A5044"/>
    <w:rsid w:val="00937A54"/>
    <w:rsid w:val="00956624"/>
    <w:rsid w:val="009613D8"/>
    <w:rsid w:val="009730CD"/>
    <w:rsid w:val="00982817"/>
    <w:rsid w:val="00990040"/>
    <w:rsid w:val="009903CC"/>
    <w:rsid w:val="009A5C67"/>
    <w:rsid w:val="009A766F"/>
    <w:rsid w:val="009B2B64"/>
    <w:rsid w:val="009E6057"/>
    <w:rsid w:val="00A41563"/>
    <w:rsid w:val="00A423C9"/>
    <w:rsid w:val="00A90029"/>
    <w:rsid w:val="00AA0DAD"/>
    <w:rsid w:val="00AB6DCA"/>
    <w:rsid w:val="00AD0134"/>
    <w:rsid w:val="00AD4B2F"/>
    <w:rsid w:val="00AE66A3"/>
    <w:rsid w:val="00B035A8"/>
    <w:rsid w:val="00B07C7F"/>
    <w:rsid w:val="00B1573A"/>
    <w:rsid w:val="00B33185"/>
    <w:rsid w:val="00B5461E"/>
    <w:rsid w:val="00B61A66"/>
    <w:rsid w:val="00B71263"/>
    <w:rsid w:val="00B81891"/>
    <w:rsid w:val="00B906F2"/>
    <w:rsid w:val="00BB0D8A"/>
    <w:rsid w:val="00BB2CB1"/>
    <w:rsid w:val="00BB30EE"/>
    <w:rsid w:val="00BC77C4"/>
    <w:rsid w:val="00BE5D82"/>
    <w:rsid w:val="00C542F2"/>
    <w:rsid w:val="00C54C36"/>
    <w:rsid w:val="00C55628"/>
    <w:rsid w:val="00C73D1C"/>
    <w:rsid w:val="00C777BD"/>
    <w:rsid w:val="00C82F4C"/>
    <w:rsid w:val="00C8592C"/>
    <w:rsid w:val="00CB708D"/>
    <w:rsid w:val="00CC0F3E"/>
    <w:rsid w:val="00CE26B8"/>
    <w:rsid w:val="00D0571A"/>
    <w:rsid w:val="00D05FC6"/>
    <w:rsid w:val="00D14FCD"/>
    <w:rsid w:val="00DB2D54"/>
    <w:rsid w:val="00DC3416"/>
    <w:rsid w:val="00DD3BFC"/>
    <w:rsid w:val="00E3448E"/>
    <w:rsid w:val="00E52E05"/>
    <w:rsid w:val="00E6453A"/>
    <w:rsid w:val="00E65449"/>
    <w:rsid w:val="00E8339F"/>
    <w:rsid w:val="00E94E58"/>
    <w:rsid w:val="00E971E7"/>
    <w:rsid w:val="00EB44BD"/>
    <w:rsid w:val="00EC07E1"/>
    <w:rsid w:val="00EC174C"/>
    <w:rsid w:val="00EC5E09"/>
    <w:rsid w:val="00F4051B"/>
    <w:rsid w:val="00F93D3F"/>
    <w:rsid w:val="00FB2511"/>
    <w:rsid w:val="00FD1083"/>
    <w:rsid w:val="00FD1727"/>
    <w:rsid w:val="00FF0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6203C"/>
  <w15:chartTrackingRefBased/>
  <w15:docId w15:val="{581F0BB2-A901-46DD-AA0E-E10ACAA89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324A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324A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324A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324A9"/>
    <w:rPr>
      <w:color w:val="0000FF"/>
      <w:u w:val="single"/>
    </w:rPr>
  </w:style>
  <w:style w:type="character" w:styleId="Strong">
    <w:name w:val="Strong"/>
    <w:basedOn w:val="DefaultParagraphFont"/>
    <w:uiPriority w:val="22"/>
    <w:qFormat/>
    <w:rsid w:val="003324A9"/>
    <w:rPr>
      <w:b/>
      <w:bCs/>
    </w:rPr>
  </w:style>
  <w:style w:type="paragraph" w:styleId="Revision">
    <w:name w:val="Revision"/>
    <w:hidden/>
    <w:uiPriority w:val="99"/>
    <w:semiHidden/>
    <w:rsid w:val="00BE5D82"/>
    <w:pPr>
      <w:spacing w:after="0" w:line="240" w:lineRule="auto"/>
    </w:pPr>
  </w:style>
  <w:style w:type="character" w:styleId="CommentReference">
    <w:name w:val="annotation reference"/>
    <w:basedOn w:val="DefaultParagraphFont"/>
    <w:uiPriority w:val="99"/>
    <w:semiHidden/>
    <w:unhideWhenUsed/>
    <w:rsid w:val="00186598"/>
    <w:rPr>
      <w:sz w:val="16"/>
      <w:szCs w:val="16"/>
    </w:rPr>
  </w:style>
  <w:style w:type="paragraph" w:styleId="CommentText">
    <w:name w:val="annotation text"/>
    <w:basedOn w:val="Normal"/>
    <w:link w:val="CommentTextChar"/>
    <w:uiPriority w:val="99"/>
    <w:semiHidden/>
    <w:unhideWhenUsed/>
    <w:rsid w:val="00186598"/>
    <w:pPr>
      <w:spacing w:line="240" w:lineRule="auto"/>
    </w:pPr>
    <w:rPr>
      <w:sz w:val="20"/>
      <w:szCs w:val="20"/>
    </w:rPr>
  </w:style>
  <w:style w:type="character" w:customStyle="1" w:styleId="CommentTextChar">
    <w:name w:val="Comment Text Char"/>
    <w:basedOn w:val="DefaultParagraphFont"/>
    <w:link w:val="CommentText"/>
    <w:uiPriority w:val="99"/>
    <w:semiHidden/>
    <w:rsid w:val="00186598"/>
    <w:rPr>
      <w:sz w:val="20"/>
      <w:szCs w:val="20"/>
    </w:rPr>
  </w:style>
  <w:style w:type="paragraph" w:styleId="CommentSubject">
    <w:name w:val="annotation subject"/>
    <w:basedOn w:val="CommentText"/>
    <w:next w:val="CommentText"/>
    <w:link w:val="CommentSubjectChar"/>
    <w:uiPriority w:val="99"/>
    <w:semiHidden/>
    <w:unhideWhenUsed/>
    <w:rsid w:val="00186598"/>
    <w:rPr>
      <w:b/>
      <w:bCs/>
    </w:rPr>
  </w:style>
  <w:style w:type="character" w:customStyle="1" w:styleId="CommentSubjectChar">
    <w:name w:val="Comment Subject Char"/>
    <w:basedOn w:val="CommentTextChar"/>
    <w:link w:val="CommentSubject"/>
    <w:uiPriority w:val="99"/>
    <w:semiHidden/>
    <w:rsid w:val="00186598"/>
    <w:rPr>
      <w:b/>
      <w:bCs/>
      <w:sz w:val="20"/>
      <w:szCs w:val="20"/>
    </w:rPr>
  </w:style>
  <w:style w:type="paragraph" w:styleId="ListParagraph">
    <w:name w:val="List Paragraph"/>
    <w:basedOn w:val="Normal"/>
    <w:uiPriority w:val="34"/>
    <w:qFormat/>
    <w:rsid w:val="001865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66062">
      <w:bodyDiv w:val="1"/>
      <w:marLeft w:val="0"/>
      <w:marRight w:val="0"/>
      <w:marTop w:val="0"/>
      <w:marBottom w:val="0"/>
      <w:divBdr>
        <w:top w:val="none" w:sz="0" w:space="0" w:color="auto"/>
        <w:left w:val="none" w:sz="0" w:space="0" w:color="auto"/>
        <w:bottom w:val="none" w:sz="0" w:space="0" w:color="auto"/>
        <w:right w:val="none" w:sz="0" w:space="0" w:color="auto"/>
      </w:divBdr>
      <w:divsChild>
        <w:div w:id="347489113">
          <w:marLeft w:val="0"/>
          <w:marRight w:val="0"/>
          <w:marTop w:val="0"/>
          <w:marBottom w:val="0"/>
          <w:divBdr>
            <w:top w:val="none" w:sz="0" w:space="0" w:color="auto"/>
            <w:left w:val="none" w:sz="0" w:space="0" w:color="auto"/>
            <w:bottom w:val="none" w:sz="0" w:space="0" w:color="auto"/>
            <w:right w:val="none" w:sz="0" w:space="0" w:color="auto"/>
          </w:divBdr>
        </w:div>
        <w:div w:id="1382631279">
          <w:marLeft w:val="0"/>
          <w:marRight w:val="0"/>
          <w:marTop w:val="0"/>
          <w:marBottom w:val="0"/>
          <w:divBdr>
            <w:top w:val="none" w:sz="0" w:space="0" w:color="auto"/>
            <w:left w:val="none" w:sz="0" w:space="0" w:color="auto"/>
            <w:bottom w:val="none" w:sz="0" w:space="0" w:color="auto"/>
            <w:right w:val="none" w:sz="0" w:space="0" w:color="auto"/>
          </w:divBdr>
        </w:div>
        <w:div w:id="309410587">
          <w:marLeft w:val="0"/>
          <w:marRight w:val="0"/>
          <w:marTop w:val="0"/>
          <w:marBottom w:val="0"/>
          <w:divBdr>
            <w:top w:val="none" w:sz="0" w:space="0" w:color="auto"/>
            <w:left w:val="none" w:sz="0" w:space="0" w:color="auto"/>
            <w:bottom w:val="none" w:sz="0" w:space="0" w:color="auto"/>
            <w:right w:val="none" w:sz="0" w:space="0" w:color="auto"/>
          </w:divBdr>
        </w:div>
      </w:divsChild>
    </w:div>
    <w:div w:id="1282105759">
      <w:bodyDiv w:val="1"/>
      <w:marLeft w:val="0"/>
      <w:marRight w:val="0"/>
      <w:marTop w:val="0"/>
      <w:marBottom w:val="0"/>
      <w:divBdr>
        <w:top w:val="none" w:sz="0" w:space="0" w:color="auto"/>
        <w:left w:val="none" w:sz="0" w:space="0" w:color="auto"/>
        <w:bottom w:val="none" w:sz="0" w:space="0" w:color="auto"/>
        <w:right w:val="none" w:sz="0" w:space="0" w:color="auto"/>
      </w:divBdr>
      <w:divsChild>
        <w:div w:id="369499409">
          <w:marLeft w:val="0"/>
          <w:marRight w:val="0"/>
          <w:marTop w:val="0"/>
          <w:marBottom w:val="0"/>
          <w:divBdr>
            <w:top w:val="none" w:sz="0" w:space="0" w:color="auto"/>
            <w:left w:val="none" w:sz="0" w:space="0" w:color="auto"/>
            <w:bottom w:val="none" w:sz="0" w:space="0" w:color="auto"/>
            <w:right w:val="none" w:sz="0" w:space="0" w:color="auto"/>
          </w:divBdr>
        </w:div>
        <w:div w:id="516193504">
          <w:marLeft w:val="0"/>
          <w:marRight w:val="0"/>
          <w:marTop w:val="0"/>
          <w:marBottom w:val="0"/>
          <w:divBdr>
            <w:top w:val="none" w:sz="0" w:space="0" w:color="auto"/>
            <w:left w:val="none" w:sz="0" w:space="0" w:color="auto"/>
            <w:bottom w:val="none" w:sz="0" w:space="0" w:color="auto"/>
            <w:right w:val="none" w:sz="0" w:space="0" w:color="auto"/>
          </w:divBdr>
        </w:div>
        <w:div w:id="1364405490">
          <w:marLeft w:val="0"/>
          <w:marRight w:val="0"/>
          <w:marTop w:val="0"/>
          <w:marBottom w:val="0"/>
          <w:divBdr>
            <w:top w:val="none" w:sz="0" w:space="0" w:color="auto"/>
            <w:left w:val="none" w:sz="0" w:space="0" w:color="auto"/>
            <w:bottom w:val="none" w:sz="0" w:space="0" w:color="auto"/>
            <w:right w:val="none" w:sz="0" w:space="0" w:color="auto"/>
          </w:divBdr>
        </w:div>
      </w:divsChild>
    </w:div>
    <w:div w:id="1845322765">
      <w:bodyDiv w:val="1"/>
      <w:marLeft w:val="0"/>
      <w:marRight w:val="0"/>
      <w:marTop w:val="0"/>
      <w:marBottom w:val="0"/>
      <w:divBdr>
        <w:top w:val="none" w:sz="0" w:space="0" w:color="auto"/>
        <w:left w:val="none" w:sz="0" w:space="0" w:color="auto"/>
        <w:bottom w:val="none" w:sz="0" w:space="0" w:color="auto"/>
        <w:right w:val="none" w:sz="0" w:space="0" w:color="auto"/>
      </w:divBdr>
      <w:divsChild>
        <w:div w:id="1806001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2521283">
              <w:marLeft w:val="0"/>
              <w:marRight w:val="0"/>
              <w:marTop w:val="0"/>
              <w:marBottom w:val="0"/>
              <w:divBdr>
                <w:top w:val="none" w:sz="0" w:space="0" w:color="auto"/>
                <w:left w:val="none" w:sz="0" w:space="0" w:color="auto"/>
                <w:bottom w:val="none" w:sz="0" w:space="0" w:color="auto"/>
                <w:right w:val="none" w:sz="0" w:space="0" w:color="auto"/>
              </w:divBdr>
              <w:divsChild>
                <w:div w:id="334110117">
                  <w:marLeft w:val="0"/>
                  <w:marRight w:val="0"/>
                  <w:marTop w:val="0"/>
                  <w:marBottom w:val="0"/>
                  <w:divBdr>
                    <w:top w:val="none" w:sz="0" w:space="0" w:color="auto"/>
                    <w:left w:val="none" w:sz="0" w:space="0" w:color="auto"/>
                    <w:bottom w:val="none" w:sz="0" w:space="0" w:color="auto"/>
                    <w:right w:val="none" w:sz="0" w:space="0" w:color="auto"/>
                  </w:divBdr>
                  <w:divsChild>
                    <w:div w:id="908227967">
                      <w:marLeft w:val="0"/>
                      <w:marRight w:val="0"/>
                      <w:marTop w:val="0"/>
                      <w:marBottom w:val="0"/>
                      <w:divBdr>
                        <w:top w:val="none" w:sz="0" w:space="0" w:color="auto"/>
                        <w:left w:val="none" w:sz="0" w:space="0" w:color="auto"/>
                        <w:bottom w:val="none" w:sz="0" w:space="0" w:color="auto"/>
                        <w:right w:val="none" w:sz="0" w:space="0" w:color="auto"/>
                      </w:divBdr>
                      <w:divsChild>
                        <w:div w:id="1445272165">
                          <w:marLeft w:val="0"/>
                          <w:marRight w:val="0"/>
                          <w:marTop w:val="0"/>
                          <w:marBottom w:val="0"/>
                          <w:divBdr>
                            <w:top w:val="none" w:sz="0" w:space="0" w:color="auto"/>
                            <w:left w:val="none" w:sz="0" w:space="0" w:color="auto"/>
                            <w:bottom w:val="none" w:sz="0" w:space="0" w:color="auto"/>
                            <w:right w:val="none" w:sz="0" w:space="0" w:color="auto"/>
                          </w:divBdr>
                          <w:divsChild>
                            <w:div w:id="146478147">
                              <w:marLeft w:val="0"/>
                              <w:marRight w:val="0"/>
                              <w:marTop w:val="0"/>
                              <w:marBottom w:val="0"/>
                              <w:divBdr>
                                <w:top w:val="none" w:sz="0" w:space="0" w:color="auto"/>
                                <w:left w:val="none" w:sz="0" w:space="0" w:color="auto"/>
                                <w:bottom w:val="none" w:sz="0" w:space="0" w:color="auto"/>
                                <w:right w:val="none" w:sz="0" w:space="0" w:color="auto"/>
                              </w:divBdr>
                              <w:divsChild>
                                <w:div w:id="1559978495">
                                  <w:marLeft w:val="0"/>
                                  <w:marRight w:val="0"/>
                                  <w:marTop w:val="0"/>
                                  <w:marBottom w:val="0"/>
                                  <w:divBdr>
                                    <w:top w:val="none" w:sz="0" w:space="0" w:color="auto"/>
                                    <w:left w:val="none" w:sz="0" w:space="0" w:color="auto"/>
                                    <w:bottom w:val="none" w:sz="0" w:space="0" w:color="auto"/>
                                    <w:right w:val="none" w:sz="0" w:space="0" w:color="auto"/>
                                  </w:divBdr>
                                  <w:divsChild>
                                    <w:div w:id="2114393839">
                                      <w:marLeft w:val="0"/>
                                      <w:marRight w:val="0"/>
                                      <w:marTop w:val="0"/>
                                      <w:marBottom w:val="0"/>
                                      <w:divBdr>
                                        <w:top w:val="none" w:sz="0" w:space="0" w:color="auto"/>
                                        <w:left w:val="none" w:sz="0" w:space="0" w:color="auto"/>
                                        <w:bottom w:val="none" w:sz="0" w:space="0" w:color="auto"/>
                                        <w:right w:val="none" w:sz="0" w:space="0" w:color="auto"/>
                                      </w:divBdr>
                                      <w:divsChild>
                                        <w:div w:id="1044331546">
                                          <w:marLeft w:val="0"/>
                                          <w:marRight w:val="0"/>
                                          <w:marTop w:val="0"/>
                                          <w:marBottom w:val="0"/>
                                          <w:divBdr>
                                            <w:top w:val="none" w:sz="0" w:space="0" w:color="auto"/>
                                            <w:left w:val="none" w:sz="0" w:space="0" w:color="auto"/>
                                            <w:bottom w:val="none" w:sz="0" w:space="0" w:color="auto"/>
                                            <w:right w:val="none" w:sz="0" w:space="0" w:color="auto"/>
                                          </w:divBdr>
                                        </w:div>
                                        <w:div w:id="1873180388">
                                          <w:marLeft w:val="0"/>
                                          <w:marRight w:val="0"/>
                                          <w:marTop w:val="0"/>
                                          <w:marBottom w:val="0"/>
                                          <w:divBdr>
                                            <w:top w:val="none" w:sz="0" w:space="0" w:color="auto"/>
                                            <w:left w:val="none" w:sz="0" w:space="0" w:color="auto"/>
                                            <w:bottom w:val="none" w:sz="0" w:space="0" w:color="auto"/>
                                            <w:right w:val="none" w:sz="0" w:space="0" w:color="auto"/>
                                          </w:divBdr>
                                          <w:divsChild>
                                            <w:div w:id="751663556">
                                              <w:marLeft w:val="0"/>
                                              <w:marRight w:val="0"/>
                                              <w:marTop w:val="0"/>
                                              <w:marBottom w:val="0"/>
                                              <w:divBdr>
                                                <w:top w:val="none" w:sz="0" w:space="0" w:color="auto"/>
                                                <w:left w:val="none" w:sz="0" w:space="0" w:color="auto"/>
                                                <w:bottom w:val="none" w:sz="0" w:space="0" w:color="auto"/>
                                                <w:right w:val="none" w:sz="0" w:space="0" w:color="auto"/>
                                              </w:divBdr>
                                              <w:divsChild>
                                                <w:div w:id="490676794">
                                                  <w:marLeft w:val="0"/>
                                                  <w:marRight w:val="0"/>
                                                  <w:marTop w:val="0"/>
                                                  <w:marBottom w:val="0"/>
                                                  <w:divBdr>
                                                    <w:top w:val="none" w:sz="0" w:space="0" w:color="auto"/>
                                                    <w:left w:val="none" w:sz="0" w:space="0" w:color="auto"/>
                                                    <w:bottom w:val="none" w:sz="0" w:space="0" w:color="auto"/>
                                                    <w:right w:val="none" w:sz="0" w:space="0" w:color="auto"/>
                                                  </w:divBdr>
                                                  <w:divsChild>
                                                    <w:div w:id="12404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Pike Pike</dc:creator>
  <cp:keywords/>
  <dc:description/>
  <cp:lastModifiedBy>Rachel Hatcher</cp:lastModifiedBy>
  <cp:revision>5</cp:revision>
  <dcterms:created xsi:type="dcterms:W3CDTF">2022-10-04T18:47:00Z</dcterms:created>
  <dcterms:modified xsi:type="dcterms:W3CDTF">2022-11-10T20:37:00Z</dcterms:modified>
</cp:coreProperties>
</file>