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904C" w14:textId="14E9079B" w:rsidR="005D58CB" w:rsidRPr="005D58CB" w:rsidRDefault="00C91D84" w:rsidP="00C91D84">
      <w:pPr>
        <w:shd w:val="clear" w:color="auto" w:fill="FFFFFF"/>
        <w:spacing w:line="276" w:lineRule="auto"/>
        <w:rPr>
          <w:rFonts w:ascii="Times New Roman" w:eastAsia="Times New Roman" w:hAnsi="Times New Roman" w:cs="Times New Roman"/>
          <w:sz w:val="24"/>
          <w:szCs w:val="24"/>
        </w:rPr>
      </w:pPr>
      <w:r w:rsidRPr="005D58CB">
        <w:rPr>
          <w:rFonts w:ascii="Times New Roman" w:eastAsia="Times New Roman" w:hAnsi="Times New Roman" w:cs="Times New Roman"/>
          <w:sz w:val="24"/>
          <w:szCs w:val="24"/>
        </w:rPr>
        <w:t>Independent</w:t>
      </w:r>
      <w:r w:rsidR="005D58CB" w:rsidRPr="005D58CB">
        <w:rPr>
          <w:rFonts w:ascii="Times New Roman" w:eastAsia="Times New Roman" w:hAnsi="Times New Roman" w:cs="Times New Roman"/>
          <w:sz w:val="24"/>
          <w:szCs w:val="24"/>
        </w:rPr>
        <w:t xml:space="preserve"> Banker</w:t>
      </w:r>
      <w:r w:rsidR="005D58CB" w:rsidRPr="005D58CB">
        <w:rPr>
          <w:rFonts w:ascii="Times New Roman" w:eastAsia="Times New Roman" w:hAnsi="Times New Roman" w:cs="Times New Roman"/>
          <w:sz w:val="24"/>
          <w:szCs w:val="24"/>
        </w:rPr>
        <w:br/>
        <w:t>February</w:t>
      </w:r>
      <w:r w:rsidR="005D58CB">
        <w:rPr>
          <w:rFonts w:ascii="Times New Roman" w:eastAsia="Times New Roman" w:hAnsi="Times New Roman" w:cs="Times New Roman"/>
          <w:sz w:val="24"/>
          <w:szCs w:val="24"/>
        </w:rPr>
        <w:t xml:space="preserve"> 2023</w:t>
      </w:r>
      <w:r w:rsidR="005D58CB" w:rsidRPr="005D58CB">
        <w:rPr>
          <w:rFonts w:ascii="Times New Roman" w:eastAsia="Times New Roman" w:hAnsi="Times New Roman" w:cs="Times New Roman"/>
          <w:sz w:val="24"/>
          <w:szCs w:val="24"/>
        </w:rPr>
        <w:br/>
        <w:t>Portfolio</w:t>
      </w:r>
    </w:p>
    <w:p w14:paraId="0CCECFEC" w14:textId="0E31D731" w:rsidR="00C91D84" w:rsidRPr="005D58CB" w:rsidRDefault="005D58CB" w:rsidP="00C91D84">
      <w:pPr>
        <w:shd w:val="clear" w:color="auto" w:fill="FFFFFF"/>
        <w:spacing w:line="276" w:lineRule="auto"/>
        <w:rPr>
          <w:rFonts w:ascii="Times New Roman" w:eastAsia="Times New Roman" w:hAnsi="Times New Roman" w:cs="Times New Roman"/>
          <w:sz w:val="24"/>
          <w:szCs w:val="24"/>
        </w:rPr>
      </w:pPr>
      <w:r w:rsidRPr="005D58CB">
        <w:rPr>
          <w:rFonts w:ascii="Times New Roman" w:eastAsia="Times New Roman" w:hAnsi="Times New Roman" w:cs="Times New Roman"/>
          <w:sz w:val="24"/>
          <w:szCs w:val="24"/>
        </w:rPr>
        <w:t>[tag] Checks &amp; Balances</w:t>
      </w:r>
    </w:p>
    <w:p w14:paraId="3AAF2B77" w14:textId="537D79D8" w:rsidR="00A26D42" w:rsidRPr="005D58CB" w:rsidRDefault="005D58CB" w:rsidP="00C91D84">
      <w:pPr>
        <w:shd w:val="clear" w:color="auto" w:fill="FFFFFF"/>
        <w:spacing w:line="276" w:lineRule="auto"/>
        <w:rPr>
          <w:rFonts w:ascii="Times New Roman" w:eastAsia="Times New Roman" w:hAnsi="Times New Roman" w:cs="Times New Roman"/>
          <w:sz w:val="24"/>
          <w:szCs w:val="24"/>
        </w:rPr>
      </w:pPr>
      <w:r w:rsidRPr="005D58CB">
        <w:rPr>
          <w:rFonts w:ascii="Times New Roman" w:eastAsia="Times New Roman" w:hAnsi="Times New Roman" w:cs="Times New Roman"/>
          <w:sz w:val="24"/>
          <w:szCs w:val="24"/>
        </w:rPr>
        <w:t xml:space="preserve">[hed] </w:t>
      </w:r>
      <w:r>
        <w:rPr>
          <w:rFonts w:ascii="Times New Roman" w:eastAsia="Times New Roman" w:hAnsi="Times New Roman" w:cs="Times New Roman"/>
          <w:sz w:val="24"/>
          <w:szCs w:val="24"/>
        </w:rPr>
        <w:t>S</w:t>
      </w:r>
      <w:r w:rsidR="00A26D42" w:rsidRPr="005D58CB">
        <w:rPr>
          <w:rFonts w:ascii="Times New Roman" w:eastAsia="Times New Roman" w:hAnsi="Times New Roman" w:cs="Times New Roman"/>
          <w:sz w:val="24"/>
          <w:szCs w:val="24"/>
        </w:rPr>
        <w:t>hap</w:t>
      </w:r>
      <w:r>
        <w:rPr>
          <w:rFonts w:ascii="Times New Roman" w:eastAsia="Times New Roman" w:hAnsi="Times New Roman" w:cs="Times New Roman"/>
          <w:sz w:val="24"/>
          <w:szCs w:val="24"/>
        </w:rPr>
        <w:t>ing</w:t>
      </w:r>
      <w:r w:rsidR="00A26D42" w:rsidRPr="005D58C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r</w:t>
      </w:r>
      <w:r w:rsidR="00A26D42" w:rsidRPr="005D58CB">
        <w:rPr>
          <w:rFonts w:ascii="Times New Roman" w:eastAsia="Times New Roman" w:hAnsi="Times New Roman" w:cs="Times New Roman"/>
          <w:sz w:val="24"/>
          <w:szCs w:val="24"/>
        </w:rPr>
        <w:t xml:space="preserve">egulatory </w:t>
      </w:r>
      <w:r>
        <w:rPr>
          <w:rFonts w:ascii="Times New Roman" w:eastAsia="Times New Roman" w:hAnsi="Times New Roman" w:cs="Times New Roman"/>
          <w:sz w:val="24"/>
          <w:szCs w:val="24"/>
        </w:rPr>
        <w:t>y</w:t>
      </w:r>
      <w:r w:rsidR="00A26D42" w:rsidRPr="005D58CB">
        <w:rPr>
          <w:rFonts w:ascii="Times New Roman" w:eastAsia="Times New Roman" w:hAnsi="Times New Roman" w:cs="Times New Roman"/>
          <w:sz w:val="24"/>
          <w:szCs w:val="24"/>
        </w:rPr>
        <w:t xml:space="preserve">ear </w:t>
      </w:r>
      <w:r>
        <w:rPr>
          <w:rFonts w:ascii="Times New Roman" w:eastAsia="Times New Roman" w:hAnsi="Times New Roman" w:cs="Times New Roman"/>
          <w:sz w:val="24"/>
          <w:szCs w:val="24"/>
        </w:rPr>
        <w:t>a</w:t>
      </w:r>
      <w:r w:rsidR="00A26D42" w:rsidRPr="005D58CB">
        <w:rPr>
          <w:rFonts w:ascii="Times New Roman" w:eastAsia="Times New Roman" w:hAnsi="Times New Roman" w:cs="Times New Roman"/>
          <w:sz w:val="24"/>
          <w:szCs w:val="24"/>
        </w:rPr>
        <w:t>head</w:t>
      </w:r>
    </w:p>
    <w:p w14:paraId="7DB642DF" w14:textId="0FD632C1" w:rsidR="00A26D42" w:rsidRPr="005D58CB" w:rsidRDefault="005D58CB" w:rsidP="00C91D84">
      <w:pPr>
        <w:shd w:val="clear" w:color="auto" w:fill="FFFFFF"/>
        <w:spacing w:line="276" w:lineRule="auto"/>
        <w:rPr>
          <w:rFonts w:ascii="Times New Roman" w:eastAsia="Times New Roman" w:hAnsi="Times New Roman" w:cs="Times New Roman"/>
          <w:sz w:val="24"/>
          <w:szCs w:val="24"/>
        </w:rPr>
      </w:pPr>
      <w:r w:rsidRPr="005D58CB">
        <w:rPr>
          <w:rFonts w:ascii="Times New Roman" w:eastAsia="Times New Roman" w:hAnsi="Times New Roman" w:cs="Times New Roman"/>
          <w:sz w:val="24"/>
          <w:szCs w:val="24"/>
        </w:rPr>
        <w:t xml:space="preserve">[byline] </w:t>
      </w:r>
      <w:r w:rsidR="00A26D42" w:rsidRPr="005D58CB">
        <w:rPr>
          <w:rFonts w:ascii="Times New Roman" w:eastAsia="Times New Roman" w:hAnsi="Times New Roman" w:cs="Times New Roman"/>
          <w:sz w:val="24"/>
          <w:szCs w:val="24"/>
        </w:rPr>
        <w:t>By Lil</w:t>
      </w:r>
      <w:r w:rsidR="00A156FE" w:rsidRPr="005D58CB">
        <w:rPr>
          <w:rFonts w:ascii="Times New Roman" w:eastAsia="Times New Roman" w:hAnsi="Times New Roman" w:cs="Times New Roman"/>
          <w:sz w:val="24"/>
          <w:szCs w:val="24"/>
        </w:rPr>
        <w:t>l</w:t>
      </w:r>
      <w:r w:rsidR="00A26D42" w:rsidRPr="005D58CB">
        <w:rPr>
          <w:rFonts w:ascii="Times New Roman" w:eastAsia="Times New Roman" w:hAnsi="Times New Roman" w:cs="Times New Roman"/>
          <w:sz w:val="24"/>
          <w:szCs w:val="24"/>
        </w:rPr>
        <w:t>y Thomas</w:t>
      </w:r>
      <w:r w:rsidR="00207B74">
        <w:rPr>
          <w:rFonts w:ascii="Times New Roman" w:eastAsia="Times New Roman" w:hAnsi="Times New Roman" w:cs="Times New Roman"/>
          <w:sz w:val="24"/>
          <w:szCs w:val="24"/>
        </w:rPr>
        <w:t>, ICBA</w:t>
      </w:r>
      <w:r w:rsidR="00A26D42" w:rsidRPr="005D58CB">
        <w:rPr>
          <w:rFonts w:ascii="Times New Roman" w:eastAsia="Times New Roman" w:hAnsi="Times New Roman" w:cs="Times New Roman"/>
          <w:sz w:val="24"/>
          <w:szCs w:val="24"/>
        </w:rPr>
        <w:t xml:space="preserve"> </w:t>
      </w:r>
    </w:p>
    <w:p w14:paraId="03603CBF" w14:textId="78EEED38" w:rsidR="00EC7B15" w:rsidRPr="005D58CB" w:rsidRDefault="005D58CB" w:rsidP="00C91D84">
      <w:pPr>
        <w:shd w:val="clear" w:color="auto" w:fill="FFFFFF"/>
        <w:spacing w:line="276" w:lineRule="auto"/>
        <w:rPr>
          <w:rFonts w:ascii="Times New Roman" w:eastAsia="Times New Roman" w:hAnsi="Times New Roman" w:cs="Times New Roman"/>
          <w:sz w:val="24"/>
          <w:szCs w:val="24"/>
        </w:rPr>
      </w:pPr>
      <w:r w:rsidRPr="005D58CB">
        <w:rPr>
          <w:rFonts w:ascii="Times New Roman" w:eastAsia="Times New Roman" w:hAnsi="Times New Roman" w:cs="Times New Roman"/>
          <w:sz w:val="24"/>
          <w:szCs w:val="24"/>
        </w:rPr>
        <w:t>[body]</w:t>
      </w:r>
    </w:p>
    <w:p w14:paraId="5A06C381" w14:textId="5DAC9936" w:rsidR="00557C5B" w:rsidRPr="005D58CB" w:rsidRDefault="00207B74" w:rsidP="00C91D84">
      <w:pPr>
        <w:pStyle w:val="NormalWeb"/>
        <w:shd w:val="clear" w:color="auto" w:fill="FFFFFF"/>
        <w:spacing w:before="0" w:beforeAutospacing="0" w:after="160" w:afterAutospacing="0" w:line="276" w:lineRule="auto"/>
      </w:pPr>
      <w:r>
        <w:t>We’re already in the second month of</w:t>
      </w:r>
      <w:r w:rsidR="00A26D42" w:rsidRPr="005D58CB">
        <w:t xml:space="preserve"> </w:t>
      </w:r>
      <w:r w:rsidR="00DF7D83" w:rsidRPr="005D58CB">
        <w:t xml:space="preserve">2023, and ICBA is </w:t>
      </w:r>
      <w:r w:rsidR="00535960" w:rsidRPr="005D58CB">
        <w:t xml:space="preserve">deep into regulatory advocacy. </w:t>
      </w:r>
    </w:p>
    <w:p w14:paraId="5B01C348" w14:textId="417E8FBF" w:rsidR="004F2F45" w:rsidRPr="005D58CB" w:rsidRDefault="00535960" w:rsidP="00C91D84">
      <w:pPr>
        <w:pStyle w:val="NormalWeb"/>
        <w:shd w:val="clear" w:color="auto" w:fill="FFFFFF"/>
        <w:spacing w:before="0" w:beforeAutospacing="0" w:after="160" w:afterAutospacing="0" w:line="276" w:lineRule="auto"/>
      </w:pPr>
      <w:r w:rsidRPr="005D58CB">
        <w:t xml:space="preserve">With a full agenda of </w:t>
      </w:r>
      <w:r w:rsidR="00E3299A" w:rsidRPr="005D58CB">
        <w:t xml:space="preserve">topics that need attention, ICBA’s </w:t>
      </w:r>
      <w:r w:rsidR="003D0D17" w:rsidRPr="005D58CB">
        <w:t xml:space="preserve">government relations team </w:t>
      </w:r>
      <w:r w:rsidR="00F6522A" w:rsidRPr="005D58CB">
        <w:t>is m</w:t>
      </w:r>
      <w:r w:rsidR="00003386" w:rsidRPr="005D58CB">
        <w:t>eeting with the regulatory agencies, writing comment letters and offering up research and ideas to help shape the discussion</w:t>
      </w:r>
      <w:r w:rsidR="004F2F45" w:rsidRPr="005D58CB">
        <w:t>.</w:t>
      </w:r>
      <w:r w:rsidR="00557C5B" w:rsidRPr="005D58CB">
        <w:t xml:space="preserve"> </w:t>
      </w:r>
      <w:r w:rsidR="004F2F45" w:rsidRPr="005D58CB">
        <w:t>The goal</w:t>
      </w:r>
      <w:r w:rsidR="00C71042" w:rsidRPr="005D58CB">
        <w:t xml:space="preserve"> is to e</w:t>
      </w:r>
      <w:r w:rsidR="004F2F45" w:rsidRPr="005D58CB">
        <w:t xml:space="preserve">nsure </w:t>
      </w:r>
      <w:r w:rsidR="008E202D" w:rsidRPr="005D58CB">
        <w:t xml:space="preserve">that </w:t>
      </w:r>
      <w:r w:rsidR="004F2F45" w:rsidRPr="005D58CB">
        <w:t>the</w:t>
      </w:r>
      <w:r w:rsidR="002354E8" w:rsidRPr="005D58CB">
        <w:t xml:space="preserve"> strength and vitality of community banks is a key consideration i</w:t>
      </w:r>
      <w:r w:rsidR="00C71042" w:rsidRPr="005D58CB">
        <w:t>n</w:t>
      </w:r>
      <w:r w:rsidR="002354E8" w:rsidRPr="005D58CB">
        <w:t xml:space="preserve"> regulatory decisions and outcomes.</w:t>
      </w:r>
    </w:p>
    <w:p w14:paraId="03E6070D" w14:textId="2F5D7824" w:rsidR="00C71042" w:rsidRPr="005D58CB" w:rsidRDefault="00557C5B" w:rsidP="00C91D84">
      <w:pPr>
        <w:pStyle w:val="NormalWeb"/>
        <w:shd w:val="clear" w:color="auto" w:fill="FFFFFF"/>
        <w:spacing w:before="0" w:beforeAutospacing="0" w:after="160" w:afterAutospacing="0" w:line="276" w:lineRule="auto"/>
      </w:pPr>
      <w:r w:rsidRPr="005D58CB">
        <w:t>Here’s a rundown of the key issues ICBA is advocating</w:t>
      </w:r>
      <w:r w:rsidR="00207B74">
        <w:t xml:space="preserve"> on.</w:t>
      </w:r>
    </w:p>
    <w:p w14:paraId="05F530AF" w14:textId="77777777" w:rsidR="00207B74" w:rsidRDefault="00207B74" w:rsidP="00C91D84">
      <w:pPr>
        <w:pStyle w:val="NormalWeb"/>
        <w:shd w:val="clear" w:color="auto" w:fill="FFFFFF"/>
        <w:spacing w:before="0" w:beforeAutospacing="0" w:after="160" w:afterAutospacing="0" w:line="276" w:lineRule="auto"/>
        <w:rPr>
          <w:b/>
          <w:bCs/>
        </w:rPr>
      </w:pPr>
    </w:p>
    <w:p w14:paraId="02F44C95" w14:textId="352B6F85" w:rsidR="00207B74" w:rsidRDefault="00207B74" w:rsidP="00C91D84">
      <w:pPr>
        <w:pStyle w:val="NormalWeb"/>
        <w:shd w:val="clear" w:color="auto" w:fill="FFFFFF"/>
        <w:spacing w:before="0" w:beforeAutospacing="0" w:after="160" w:afterAutospacing="0" w:line="276" w:lineRule="auto"/>
        <w:rPr>
          <w:b/>
          <w:bCs/>
        </w:rPr>
      </w:pPr>
      <w:r>
        <w:rPr>
          <w:b/>
          <w:bCs/>
        </w:rPr>
        <w:t xml:space="preserve">[subhed] </w:t>
      </w:r>
      <w:r w:rsidR="00EC7B15" w:rsidRPr="005D58CB">
        <w:rPr>
          <w:b/>
          <w:bCs/>
        </w:rPr>
        <w:t>Climate risk</w:t>
      </w:r>
    </w:p>
    <w:p w14:paraId="5DFA63E6" w14:textId="5E171D07" w:rsidR="00EC7B15" w:rsidRPr="005D58CB" w:rsidRDefault="00EC7B15" w:rsidP="00C91D84">
      <w:pPr>
        <w:pStyle w:val="NormalWeb"/>
        <w:shd w:val="clear" w:color="auto" w:fill="FFFFFF"/>
        <w:spacing w:before="0" w:beforeAutospacing="0" w:after="160" w:afterAutospacing="0" w:line="276" w:lineRule="auto"/>
      </w:pPr>
      <w:r w:rsidRPr="005D58CB">
        <w:t>ICBA is engaging on climate risk with all the regulatory agencies, asking them to reconsider their climate risk proposals and their adverse effects on local communities. ICBA strongly opposes climate risk regulation of community banks and has told policymakers, including those at the FDIC, OCC and SEC</w:t>
      </w:r>
      <w:r w:rsidR="005D58CB">
        <w:t>,</w:t>
      </w:r>
      <w:r w:rsidRPr="005D58CB">
        <w:t xml:space="preserve"> that any trickle-down effect of large bank regulation in this area will stifle innovation and create barriers to serving consumers and small businesses. ICBA will also continue to push back against </w:t>
      </w:r>
      <w:r w:rsidRPr="005D58CB">
        <w:rPr>
          <w:shd w:val="clear" w:color="auto" w:fill="FFFFFF"/>
        </w:rPr>
        <w:t>New York State Department of Financial Services</w:t>
      </w:r>
      <w:r w:rsidR="005D58CB">
        <w:rPr>
          <w:shd w:val="clear" w:color="auto" w:fill="FFFFFF"/>
        </w:rPr>
        <w:t>’</w:t>
      </w:r>
      <w:r w:rsidRPr="005D58CB">
        <w:rPr>
          <w:shd w:val="clear" w:color="auto" w:fill="FFFFFF"/>
        </w:rPr>
        <w:t xml:space="preserve"> proposed guidance on climate risk, which contains sweeping expectations about how New York </w:t>
      </w:r>
      <w:r w:rsidR="008E202D" w:rsidRPr="005D58CB">
        <w:rPr>
          <w:shd w:val="clear" w:color="auto" w:fill="FFFFFF"/>
        </w:rPr>
        <w:t>s</w:t>
      </w:r>
      <w:r w:rsidRPr="005D58CB">
        <w:rPr>
          <w:shd w:val="clear" w:color="auto" w:fill="FFFFFF"/>
        </w:rPr>
        <w:t xml:space="preserve">tate-regulated banks should monitor and control their material climate-related financial risks. </w:t>
      </w:r>
    </w:p>
    <w:p w14:paraId="22BDCA64" w14:textId="77777777" w:rsidR="00207B74" w:rsidRDefault="00207B74" w:rsidP="00C91D84">
      <w:pPr>
        <w:spacing w:line="276" w:lineRule="auto"/>
        <w:rPr>
          <w:rFonts w:ascii="Times New Roman" w:hAnsi="Times New Roman" w:cs="Times New Roman"/>
          <w:b/>
          <w:bCs/>
          <w:sz w:val="24"/>
          <w:szCs w:val="24"/>
          <w:shd w:val="clear" w:color="auto" w:fill="FFFFFF"/>
        </w:rPr>
      </w:pPr>
    </w:p>
    <w:p w14:paraId="5D04B04D" w14:textId="14DF3639" w:rsidR="00207B74" w:rsidRDefault="00207B74" w:rsidP="00C91D84">
      <w:pPr>
        <w:spacing w:line="276" w:lineRule="auto"/>
        <w:rPr>
          <w:rFonts w:ascii="Times New Roman" w:hAnsi="Times New Roman" w:cs="Times New Roman"/>
          <w:b/>
          <w:bCs/>
          <w:sz w:val="24"/>
          <w:szCs w:val="24"/>
          <w:shd w:val="clear" w:color="auto" w:fill="FFFFFF"/>
        </w:rPr>
      </w:pPr>
      <w:r>
        <w:rPr>
          <w:b/>
          <w:bCs/>
        </w:rPr>
        <w:t xml:space="preserve">[subhed] </w:t>
      </w:r>
      <w:r w:rsidR="00EC7B15" w:rsidRPr="005D58CB">
        <w:rPr>
          <w:rFonts w:ascii="Times New Roman" w:hAnsi="Times New Roman" w:cs="Times New Roman"/>
          <w:b/>
          <w:bCs/>
          <w:sz w:val="24"/>
          <w:szCs w:val="24"/>
          <w:shd w:val="clear" w:color="auto" w:fill="FFFFFF"/>
        </w:rPr>
        <w:t>1071 implementation</w:t>
      </w:r>
    </w:p>
    <w:p w14:paraId="69D74B17" w14:textId="0904049B" w:rsidR="00EC7B15" w:rsidRDefault="00EC7B15" w:rsidP="00C91D84">
      <w:pPr>
        <w:spacing w:line="276" w:lineRule="auto"/>
        <w:rPr>
          <w:rFonts w:ascii="Times New Roman" w:hAnsi="Times New Roman" w:cs="Times New Roman"/>
          <w:sz w:val="24"/>
          <w:szCs w:val="24"/>
          <w:shd w:val="clear" w:color="auto" w:fill="FFFFFF"/>
        </w:rPr>
      </w:pPr>
      <w:r w:rsidRPr="005D58CB">
        <w:rPr>
          <w:rFonts w:ascii="Times New Roman" w:hAnsi="Times New Roman" w:cs="Times New Roman"/>
          <w:sz w:val="24"/>
          <w:szCs w:val="24"/>
          <w:shd w:val="clear" w:color="auto" w:fill="FFFFFF"/>
        </w:rPr>
        <w:t xml:space="preserve">The </w:t>
      </w:r>
      <w:r w:rsidR="005D58CB" w:rsidRPr="005D58CB">
        <w:rPr>
          <w:rFonts w:ascii="Times New Roman" w:hAnsi="Times New Roman" w:cs="Times New Roman"/>
          <w:sz w:val="24"/>
          <w:szCs w:val="24"/>
          <w:shd w:val="clear" w:color="auto" w:fill="FFFFFF"/>
        </w:rPr>
        <w:t>Consumer Financial Protection Bureau</w:t>
      </w:r>
      <w:r w:rsidR="005D58CB">
        <w:rPr>
          <w:rFonts w:ascii="Times New Roman" w:hAnsi="Times New Roman" w:cs="Times New Roman"/>
          <w:sz w:val="24"/>
          <w:szCs w:val="24"/>
          <w:shd w:val="clear" w:color="auto" w:fill="FFFFFF"/>
        </w:rPr>
        <w:t xml:space="preserve"> (</w:t>
      </w:r>
      <w:r w:rsidRPr="005D58CB">
        <w:rPr>
          <w:rFonts w:ascii="Times New Roman" w:hAnsi="Times New Roman" w:cs="Times New Roman"/>
          <w:sz w:val="24"/>
          <w:szCs w:val="24"/>
          <w:shd w:val="clear" w:color="auto" w:fill="FFFFFF"/>
        </w:rPr>
        <w:t>CFPB</w:t>
      </w:r>
      <w:r w:rsidR="005D58CB">
        <w:rPr>
          <w:rFonts w:ascii="Times New Roman" w:hAnsi="Times New Roman" w:cs="Times New Roman"/>
          <w:sz w:val="24"/>
          <w:szCs w:val="24"/>
          <w:shd w:val="clear" w:color="auto" w:fill="FFFFFF"/>
        </w:rPr>
        <w:t>)</w:t>
      </w:r>
      <w:r w:rsidRPr="005D58CB">
        <w:rPr>
          <w:rFonts w:ascii="Times New Roman" w:hAnsi="Times New Roman" w:cs="Times New Roman"/>
          <w:sz w:val="24"/>
          <w:szCs w:val="24"/>
          <w:shd w:val="clear" w:color="auto" w:fill="FFFFFF"/>
        </w:rPr>
        <w:t xml:space="preserve"> is expected to release its final rule on implementing Section 1071 of the Dodd-Frank Act, which </w:t>
      </w:r>
      <w:r w:rsidRPr="005D58CB">
        <w:rPr>
          <w:rStyle w:val="Strong"/>
          <w:rFonts w:ascii="Times New Roman" w:hAnsi="Times New Roman" w:cs="Times New Roman"/>
          <w:b w:val="0"/>
          <w:bCs w:val="0"/>
          <w:sz w:val="24"/>
          <w:szCs w:val="24"/>
          <w:shd w:val="clear" w:color="auto" w:fill="FFFFFF"/>
        </w:rPr>
        <w:t>includes data collection and reporting requirements for small-business lending. ICBA opposes the current proposal</w:t>
      </w:r>
      <w:r w:rsidRPr="005D58CB">
        <w:rPr>
          <w:rFonts w:ascii="Times New Roman" w:hAnsi="Times New Roman" w:cs="Times New Roman"/>
          <w:sz w:val="24"/>
          <w:szCs w:val="24"/>
          <w:shd w:val="clear" w:color="auto" w:fill="FFFFFF"/>
        </w:rPr>
        <w:t>—covering community banks that originate 25 loans or more—</w:t>
      </w:r>
      <w:r w:rsidR="008E202D" w:rsidRPr="005D58CB">
        <w:rPr>
          <w:rFonts w:ascii="Times New Roman" w:hAnsi="Times New Roman" w:cs="Times New Roman"/>
          <w:sz w:val="24"/>
          <w:szCs w:val="24"/>
          <w:shd w:val="clear" w:color="auto" w:fill="FFFFFF"/>
        </w:rPr>
        <w:t xml:space="preserve">which </w:t>
      </w:r>
      <w:r w:rsidRPr="005D58CB">
        <w:rPr>
          <w:rFonts w:ascii="Times New Roman" w:hAnsi="Times New Roman" w:cs="Times New Roman"/>
          <w:sz w:val="24"/>
          <w:szCs w:val="24"/>
          <w:shd w:val="clear" w:color="auto" w:fill="FFFFFF"/>
        </w:rPr>
        <w:t>would create unnecessary burden on even the smallest banks. A community bank exception is needed.</w:t>
      </w:r>
    </w:p>
    <w:p w14:paraId="0D579FEC" w14:textId="77777777" w:rsidR="00207B74" w:rsidRPr="005D58CB" w:rsidRDefault="00207B74" w:rsidP="00C91D84">
      <w:pPr>
        <w:spacing w:line="276" w:lineRule="auto"/>
        <w:rPr>
          <w:rFonts w:ascii="Times New Roman" w:hAnsi="Times New Roman" w:cs="Times New Roman"/>
          <w:sz w:val="24"/>
          <w:szCs w:val="24"/>
          <w:shd w:val="clear" w:color="auto" w:fill="FFFFFF"/>
        </w:rPr>
      </w:pPr>
    </w:p>
    <w:p w14:paraId="7FDE4074" w14:textId="2694F721" w:rsidR="00207B74" w:rsidRDefault="00207B74" w:rsidP="00C91D84">
      <w:pPr>
        <w:spacing w:line="276" w:lineRule="auto"/>
        <w:rPr>
          <w:rFonts w:ascii="Times New Roman" w:hAnsi="Times New Roman" w:cs="Times New Roman"/>
          <w:b/>
          <w:bCs/>
          <w:sz w:val="24"/>
          <w:szCs w:val="24"/>
          <w:shd w:val="clear" w:color="auto" w:fill="FFFFFF"/>
        </w:rPr>
      </w:pPr>
      <w:r>
        <w:rPr>
          <w:b/>
          <w:bCs/>
        </w:rPr>
        <w:t xml:space="preserve">[subhed] </w:t>
      </w:r>
      <w:r w:rsidR="00EC7B15" w:rsidRPr="005D58CB">
        <w:rPr>
          <w:rFonts w:ascii="Times New Roman" w:hAnsi="Times New Roman" w:cs="Times New Roman"/>
          <w:b/>
          <w:bCs/>
          <w:sz w:val="24"/>
          <w:szCs w:val="24"/>
          <w:shd w:val="clear" w:color="auto" w:fill="FFFFFF"/>
        </w:rPr>
        <w:t>Community Reinvestment Act (CRA) modernization</w:t>
      </w:r>
    </w:p>
    <w:p w14:paraId="5E90D93D" w14:textId="54502461" w:rsidR="00EC7B15" w:rsidRDefault="00EC7B15" w:rsidP="00C91D84">
      <w:pPr>
        <w:spacing w:line="276" w:lineRule="auto"/>
        <w:rPr>
          <w:rFonts w:ascii="Times New Roman" w:hAnsi="Times New Roman" w:cs="Times New Roman"/>
          <w:sz w:val="24"/>
          <w:szCs w:val="24"/>
          <w:shd w:val="clear" w:color="auto" w:fill="FFFFFF"/>
        </w:rPr>
      </w:pPr>
      <w:r w:rsidRPr="005D58CB">
        <w:rPr>
          <w:rFonts w:ascii="Times New Roman" w:hAnsi="Times New Roman" w:cs="Times New Roman"/>
          <w:sz w:val="24"/>
          <w:szCs w:val="24"/>
          <w:shd w:val="clear" w:color="auto" w:fill="FFFFFF"/>
        </w:rPr>
        <w:lastRenderedPageBreak/>
        <w:t xml:space="preserve">The federal banking agencies have suggested their final rule modernizing CRA will be released early this year. ICBA is reiterating the need for </w:t>
      </w:r>
      <w:r w:rsidR="00607B99" w:rsidRPr="005D58CB">
        <w:rPr>
          <w:rFonts w:ascii="Times New Roman" w:hAnsi="Times New Roman" w:cs="Times New Roman"/>
          <w:sz w:val="24"/>
          <w:szCs w:val="24"/>
          <w:shd w:val="clear" w:color="auto" w:fill="FFFFFF"/>
        </w:rPr>
        <w:t xml:space="preserve">higher thresholds </w:t>
      </w:r>
      <w:r w:rsidR="00AB711A" w:rsidRPr="005D58CB">
        <w:rPr>
          <w:rFonts w:ascii="Times New Roman" w:hAnsi="Times New Roman" w:cs="Times New Roman"/>
          <w:sz w:val="24"/>
          <w:szCs w:val="24"/>
          <w:shd w:val="clear" w:color="auto" w:fill="FFFFFF"/>
        </w:rPr>
        <w:t>that</w:t>
      </w:r>
      <w:r w:rsidRPr="005D58CB">
        <w:rPr>
          <w:rFonts w:ascii="Times New Roman" w:hAnsi="Times New Roman" w:cs="Times New Roman"/>
          <w:sz w:val="24"/>
          <w:szCs w:val="24"/>
          <w:shd w:val="clear" w:color="auto" w:fill="FFFFFF"/>
        </w:rPr>
        <w:t xml:space="preserve"> minimize new data collection and reporting burdens for community banks. Last August</w:t>
      </w:r>
      <w:r w:rsidR="005D58CB">
        <w:rPr>
          <w:rFonts w:ascii="Times New Roman" w:hAnsi="Times New Roman" w:cs="Times New Roman"/>
          <w:sz w:val="24"/>
          <w:szCs w:val="24"/>
          <w:shd w:val="clear" w:color="auto" w:fill="FFFFFF"/>
        </w:rPr>
        <w:t>,</w:t>
      </w:r>
      <w:r w:rsidRPr="005D58CB">
        <w:rPr>
          <w:rFonts w:ascii="Times New Roman" w:hAnsi="Times New Roman" w:cs="Times New Roman"/>
          <w:sz w:val="24"/>
          <w:szCs w:val="24"/>
          <w:shd w:val="clear" w:color="auto" w:fill="FFFFFF"/>
        </w:rPr>
        <w:t xml:space="preserve"> ICBA sent the agencies a 27-page comment letter describing the challenges and opportunities CRA modernization presents to community banks and the communities they serve</w:t>
      </w:r>
      <w:r w:rsidR="005D58CB">
        <w:rPr>
          <w:rFonts w:ascii="Times New Roman" w:hAnsi="Times New Roman" w:cs="Times New Roman"/>
          <w:sz w:val="24"/>
          <w:szCs w:val="24"/>
          <w:shd w:val="clear" w:color="auto" w:fill="FFFFFF"/>
        </w:rPr>
        <w:t>—</w:t>
      </w:r>
      <w:r w:rsidRPr="005D58CB">
        <w:rPr>
          <w:rFonts w:ascii="Times New Roman" w:hAnsi="Times New Roman" w:cs="Times New Roman"/>
          <w:sz w:val="24"/>
          <w:szCs w:val="24"/>
          <w:shd w:val="clear" w:color="auto" w:fill="FFFFFF"/>
        </w:rPr>
        <w:t>and how to make CRA less burdensome for community banks while doing more to help lower</w:t>
      </w:r>
      <w:r w:rsidR="005D58CB">
        <w:rPr>
          <w:rFonts w:ascii="Times New Roman" w:hAnsi="Times New Roman" w:cs="Times New Roman"/>
          <w:sz w:val="24"/>
          <w:szCs w:val="24"/>
          <w:shd w:val="clear" w:color="auto" w:fill="FFFFFF"/>
        </w:rPr>
        <w:t>-</w:t>
      </w:r>
      <w:r w:rsidRPr="005D58CB">
        <w:rPr>
          <w:rFonts w:ascii="Times New Roman" w:hAnsi="Times New Roman" w:cs="Times New Roman"/>
          <w:sz w:val="24"/>
          <w:szCs w:val="24"/>
          <w:shd w:val="clear" w:color="auto" w:fill="FFFFFF"/>
        </w:rPr>
        <w:t xml:space="preserve"> and moderate-income communities.</w:t>
      </w:r>
    </w:p>
    <w:p w14:paraId="72D1A369" w14:textId="77777777" w:rsidR="00207B74" w:rsidRPr="005D58CB" w:rsidRDefault="00207B74" w:rsidP="00C91D84">
      <w:pPr>
        <w:spacing w:line="276" w:lineRule="auto"/>
        <w:rPr>
          <w:rFonts w:ascii="Times New Roman" w:hAnsi="Times New Roman" w:cs="Times New Roman"/>
          <w:sz w:val="24"/>
          <w:szCs w:val="24"/>
        </w:rPr>
      </w:pPr>
    </w:p>
    <w:p w14:paraId="5223BB15" w14:textId="3BDF2D25" w:rsidR="00207B74" w:rsidRDefault="00207B74" w:rsidP="00C91D84">
      <w:pPr>
        <w:shd w:val="clear" w:color="auto" w:fill="FFFFFF"/>
        <w:spacing w:line="276" w:lineRule="auto"/>
        <w:rPr>
          <w:rFonts w:ascii="Times New Roman" w:eastAsia="Times New Roman" w:hAnsi="Times New Roman" w:cs="Times New Roman"/>
          <w:sz w:val="24"/>
          <w:szCs w:val="24"/>
        </w:rPr>
      </w:pPr>
      <w:r>
        <w:rPr>
          <w:b/>
          <w:bCs/>
        </w:rPr>
        <w:t xml:space="preserve">[subhed] </w:t>
      </w:r>
      <w:r w:rsidR="00200398" w:rsidRPr="005D58CB">
        <w:rPr>
          <w:rFonts w:ascii="Times New Roman" w:eastAsia="Times New Roman" w:hAnsi="Times New Roman" w:cs="Times New Roman"/>
          <w:b/>
          <w:bCs/>
          <w:sz w:val="24"/>
          <w:szCs w:val="24"/>
        </w:rPr>
        <w:t>Digital assets &amp; cryptocurrency</w:t>
      </w:r>
    </w:p>
    <w:p w14:paraId="31716DEB" w14:textId="5E9D9EBB" w:rsidR="00AA623A" w:rsidRPr="005D58CB" w:rsidRDefault="00AA623A" w:rsidP="00C91D84">
      <w:pPr>
        <w:shd w:val="clear" w:color="auto" w:fill="FFFFFF"/>
        <w:spacing w:line="276" w:lineRule="auto"/>
        <w:rPr>
          <w:rFonts w:ascii="Times New Roman" w:hAnsi="Times New Roman" w:cs="Times New Roman"/>
          <w:sz w:val="24"/>
          <w:szCs w:val="24"/>
        </w:rPr>
      </w:pPr>
      <w:r w:rsidRPr="005D58CB">
        <w:rPr>
          <w:rFonts w:ascii="Times New Roman" w:eastAsia="Times New Roman" w:hAnsi="Times New Roman" w:cs="Times New Roman"/>
          <w:sz w:val="24"/>
          <w:szCs w:val="24"/>
        </w:rPr>
        <w:t xml:space="preserve">ICBA will continue to ensure community banks have a voice </w:t>
      </w:r>
      <w:r w:rsidR="005D58CB">
        <w:rPr>
          <w:rFonts w:ascii="Times New Roman" w:eastAsia="Times New Roman" w:hAnsi="Times New Roman" w:cs="Times New Roman"/>
          <w:sz w:val="24"/>
          <w:szCs w:val="24"/>
        </w:rPr>
        <w:t>in</w:t>
      </w:r>
      <w:r w:rsidRPr="005D58CB">
        <w:rPr>
          <w:rFonts w:ascii="Times New Roman" w:eastAsia="Times New Roman" w:hAnsi="Times New Roman" w:cs="Times New Roman"/>
          <w:sz w:val="24"/>
          <w:szCs w:val="24"/>
        </w:rPr>
        <w:t xml:space="preserve"> the future of digital assets and cryptocurrency. As shared in letters to the Treasury</w:t>
      </w:r>
      <w:r w:rsidR="000267D3" w:rsidRPr="005D58CB">
        <w:rPr>
          <w:rFonts w:ascii="Times New Roman" w:eastAsia="Times New Roman" w:hAnsi="Times New Roman" w:cs="Times New Roman"/>
          <w:sz w:val="24"/>
          <w:szCs w:val="24"/>
        </w:rPr>
        <w:t>, the Financial Stability Board</w:t>
      </w:r>
      <w:r w:rsidRPr="005D58CB">
        <w:rPr>
          <w:rFonts w:ascii="Times New Roman" w:eastAsia="Times New Roman" w:hAnsi="Times New Roman" w:cs="Times New Roman"/>
          <w:sz w:val="24"/>
          <w:szCs w:val="24"/>
        </w:rPr>
        <w:t xml:space="preserve"> and others in 2022, </w:t>
      </w:r>
      <w:r w:rsidRPr="005D58CB">
        <w:rPr>
          <w:rFonts w:ascii="Times New Roman" w:hAnsi="Times New Roman" w:cs="Times New Roman"/>
          <w:sz w:val="24"/>
          <w:szCs w:val="24"/>
        </w:rPr>
        <w:t>ICBA supports efforts by policymakers to resolve regulatory and legal debates about the classification of digital assets as securities, commodities or banking products.</w:t>
      </w:r>
    </w:p>
    <w:p w14:paraId="5F85F129" w14:textId="50390551" w:rsidR="00AA623A" w:rsidRDefault="005D58CB" w:rsidP="00C91D84">
      <w:pPr>
        <w:shd w:val="clear" w:color="auto" w:fill="FFFFFF" w:themeFill="background1"/>
        <w:spacing w:line="276" w:lineRule="auto"/>
        <w:rPr>
          <w:rStyle w:val="cf01"/>
          <w:rFonts w:ascii="Times New Roman" w:hAnsi="Times New Roman" w:cs="Times New Roman"/>
          <w:sz w:val="24"/>
          <w:szCs w:val="24"/>
        </w:rPr>
      </w:pPr>
      <w:r>
        <w:rPr>
          <w:rFonts w:ascii="Times New Roman" w:hAnsi="Times New Roman" w:cs="Times New Roman"/>
          <w:sz w:val="24"/>
          <w:szCs w:val="24"/>
        </w:rPr>
        <w:t xml:space="preserve">In addition, </w:t>
      </w:r>
      <w:r w:rsidR="00AA623A" w:rsidRPr="005D58CB">
        <w:rPr>
          <w:rFonts w:ascii="Times New Roman" w:hAnsi="Times New Roman" w:cs="Times New Roman"/>
          <w:sz w:val="24"/>
          <w:szCs w:val="24"/>
        </w:rPr>
        <w:t xml:space="preserve">ICBA is calling attention to </w:t>
      </w:r>
      <w:r w:rsidR="00AA623A" w:rsidRPr="005D58CB">
        <w:rPr>
          <w:rFonts w:ascii="Times New Roman" w:eastAsia="Times New Roman" w:hAnsi="Times New Roman" w:cs="Times New Roman"/>
          <w:sz w:val="24"/>
          <w:szCs w:val="24"/>
        </w:rPr>
        <w:t xml:space="preserve">threats to privacy, consumer protections and financial stability. The potential for money laundering, terrorist financing and fraud </w:t>
      </w:r>
      <w:r w:rsidR="00AA623A" w:rsidRPr="005D58CB">
        <w:rPr>
          <w:rFonts w:ascii="Times New Roman" w:hAnsi="Times New Roman" w:cs="Times New Roman"/>
          <w:sz w:val="24"/>
          <w:szCs w:val="24"/>
        </w:rPr>
        <w:t xml:space="preserve">with these assets </w:t>
      </w:r>
      <w:r w:rsidR="00AA623A" w:rsidRPr="005D58CB">
        <w:rPr>
          <w:rFonts w:ascii="Times New Roman" w:eastAsia="Times New Roman" w:hAnsi="Times New Roman" w:cs="Times New Roman"/>
          <w:sz w:val="24"/>
          <w:szCs w:val="24"/>
        </w:rPr>
        <w:t>is high. They also threaten to disintermediate community banks and undermine their ability to provide funding to support local economic activity, growth and development.</w:t>
      </w:r>
      <w:r w:rsidR="008E202D" w:rsidRPr="005D58CB">
        <w:rPr>
          <w:rStyle w:val="cf01"/>
          <w:rFonts w:ascii="Times New Roman" w:hAnsi="Times New Roman" w:cs="Times New Roman"/>
          <w:sz w:val="24"/>
          <w:szCs w:val="24"/>
        </w:rPr>
        <w:t xml:space="preserve"> Cryptocurrency companies do not meet the requirements of federally insured chartered banks and should not be granted any charter or access to the Federal Reserve's payment system.</w:t>
      </w:r>
    </w:p>
    <w:p w14:paraId="7861F06E" w14:textId="77777777" w:rsidR="00207B74" w:rsidRPr="005D58CB" w:rsidRDefault="00207B74" w:rsidP="00C91D84">
      <w:pPr>
        <w:shd w:val="clear" w:color="auto" w:fill="FFFFFF" w:themeFill="background1"/>
        <w:spacing w:line="276" w:lineRule="auto"/>
        <w:rPr>
          <w:rFonts w:ascii="Times New Roman" w:eastAsia="Times New Roman" w:hAnsi="Times New Roman" w:cs="Times New Roman"/>
          <w:sz w:val="24"/>
          <w:szCs w:val="24"/>
        </w:rPr>
      </w:pPr>
    </w:p>
    <w:p w14:paraId="15641CFA" w14:textId="4D46B41B" w:rsidR="00207B74" w:rsidRDefault="00207B74" w:rsidP="00C91D84">
      <w:pPr>
        <w:shd w:val="clear" w:color="auto" w:fill="FFFFFF"/>
        <w:spacing w:line="276" w:lineRule="auto"/>
        <w:rPr>
          <w:rFonts w:ascii="Times New Roman" w:eastAsia="Times New Roman" w:hAnsi="Times New Roman" w:cs="Times New Roman"/>
          <w:b/>
          <w:bCs/>
          <w:sz w:val="24"/>
          <w:szCs w:val="24"/>
        </w:rPr>
      </w:pPr>
      <w:r>
        <w:rPr>
          <w:b/>
          <w:bCs/>
        </w:rPr>
        <w:t xml:space="preserve">[subhed] </w:t>
      </w:r>
      <w:r w:rsidR="003A3AE1" w:rsidRPr="005D58CB">
        <w:rPr>
          <w:rFonts w:ascii="Times New Roman" w:eastAsia="Times New Roman" w:hAnsi="Times New Roman" w:cs="Times New Roman"/>
          <w:b/>
          <w:bCs/>
          <w:sz w:val="24"/>
          <w:szCs w:val="24"/>
        </w:rPr>
        <w:t>Overdraft and other fees</w:t>
      </w:r>
    </w:p>
    <w:p w14:paraId="5D8869FA" w14:textId="368DC832" w:rsidR="00200398" w:rsidRDefault="003A3AE1" w:rsidP="00C91D84">
      <w:pPr>
        <w:shd w:val="clear" w:color="auto" w:fill="FFFFFF"/>
        <w:spacing w:line="276" w:lineRule="auto"/>
        <w:rPr>
          <w:rFonts w:ascii="Times New Roman" w:eastAsia="Times New Roman" w:hAnsi="Times New Roman" w:cs="Times New Roman"/>
          <w:sz w:val="24"/>
          <w:szCs w:val="24"/>
        </w:rPr>
      </w:pPr>
      <w:r w:rsidRPr="005D58CB">
        <w:rPr>
          <w:rFonts w:ascii="Times New Roman" w:eastAsia="Times New Roman" w:hAnsi="Times New Roman" w:cs="Times New Roman"/>
          <w:sz w:val="24"/>
          <w:szCs w:val="24"/>
        </w:rPr>
        <w:t xml:space="preserve">ICBA </w:t>
      </w:r>
      <w:r w:rsidR="00E86E58" w:rsidRPr="005D58CB">
        <w:rPr>
          <w:rFonts w:ascii="Times New Roman" w:eastAsia="Times New Roman" w:hAnsi="Times New Roman" w:cs="Times New Roman"/>
          <w:sz w:val="24"/>
          <w:szCs w:val="24"/>
        </w:rPr>
        <w:t xml:space="preserve">will continue to push back against </w:t>
      </w:r>
      <w:r w:rsidR="0046427B" w:rsidRPr="005D58CB">
        <w:rPr>
          <w:rFonts w:ascii="Times New Roman" w:eastAsia="Times New Roman" w:hAnsi="Times New Roman" w:cs="Times New Roman"/>
          <w:sz w:val="24"/>
          <w:szCs w:val="24"/>
        </w:rPr>
        <w:t xml:space="preserve">efforts by the CFPB to regulate overdraft and other fees without using the rulemaking process. </w:t>
      </w:r>
      <w:r w:rsidR="00FF34EE" w:rsidRPr="005D58CB">
        <w:rPr>
          <w:rFonts w:ascii="Times New Roman" w:eastAsia="Times New Roman" w:hAnsi="Times New Roman" w:cs="Times New Roman"/>
          <w:sz w:val="24"/>
          <w:szCs w:val="24"/>
        </w:rPr>
        <w:t>ICBA also believes the CFPB misunderstands the</w:t>
      </w:r>
      <w:r w:rsidR="003703E3" w:rsidRPr="005D58CB">
        <w:rPr>
          <w:rFonts w:ascii="Times New Roman" w:eastAsia="Times New Roman" w:hAnsi="Times New Roman" w:cs="Times New Roman"/>
          <w:sz w:val="24"/>
          <w:szCs w:val="24"/>
        </w:rPr>
        <w:t xml:space="preserve"> benefits of these fees and has wrongly labeled them unfair.</w:t>
      </w:r>
    </w:p>
    <w:p w14:paraId="1D6DEB74" w14:textId="77777777" w:rsidR="00207B74" w:rsidRPr="005D58CB" w:rsidRDefault="00207B74" w:rsidP="00C91D84">
      <w:pPr>
        <w:shd w:val="clear" w:color="auto" w:fill="FFFFFF"/>
        <w:spacing w:line="276" w:lineRule="auto"/>
        <w:rPr>
          <w:rFonts w:ascii="Times New Roman" w:eastAsia="Times New Roman" w:hAnsi="Times New Roman" w:cs="Times New Roman"/>
          <w:sz w:val="24"/>
          <w:szCs w:val="24"/>
        </w:rPr>
      </w:pPr>
    </w:p>
    <w:p w14:paraId="5618BAFC" w14:textId="40FD20FA" w:rsidR="00207B74" w:rsidRDefault="00207B74" w:rsidP="005D58CB">
      <w:pPr>
        <w:spacing w:line="276" w:lineRule="auto"/>
        <w:rPr>
          <w:rFonts w:ascii="Times New Roman" w:hAnsi="Times New Roman" w:cs="Times New Roman"/>
          <w:b/>
          <w:sz w:val="24"/>
          <w:szCs w:val="24"/>
        </w:rPr>
      </w:pPr>
      <w:r>
        <w:rPr>
          <w:b/>
          <w:bCs/>
        </w:rPr>
        <w:t xml:space="preserve">[subhed] </w:t>
      </w:r>
      <w:r w:rsidR="00D93942" w:rsidRPr="005D58CB">
        <w:rPr>
          <w:rFonts w:ascii="Times New Roman" w:hAnsi="Times New Roman" w:cs="Times New Roman"/>
          <w:b/>
          <w:sz w:val="24"/>
          <w:szCs w:val="24"/>
        </w:rPr>
        <w:t>Payments</w:t>
      </w:r>
    </w:p>
    <w:p w14:paraId="6B9E3203" w14:textId="784602D9" w:rsidR="00BF605D" w:rsidRDefault="00EE4AC0" w:rsidP="005D58CB">
      <w:pPr>
        <w:spacing w:line="276" w:lineRule="auto"/>
        <w:rPr>
          <w:rFonts w:ascii="Times New Roman" w:hAnsi="Times New Roman" w:cs="Times New Roman"/>
          <w:sz w:val="24"/>
          <w:szCs w:val="24"/>
        </w:rPr>
      </w:pPr>
      <w:r w:rsidRPr="005D58CB">
        <w:rPr>
          <w:rFonts w:ascii="Times New Roman" w:hAnsi="Times New Roman" w:cs="Times New Roman"/>
          <w:sz w:val="24"/>
          <w:szCs w:val="24"/>
        </w:rPr>
        <w:t xml:space="preserve">ICBA is a strong advocate for secure, financial institution-centric payments systems, and urges policymakers and regulators to maintain their position that direct access to these systems be limited to federally </w:t>
      </w:r>
      <w:r w:rsidR="296FC6ED" w:rsidRPr="005D58CB">
        <w:rPr>
          <w:rFonts w:ascii="Times New Roman" w:hAnsi="Times New Roman" w:cs="Times New Roman"/>
          <w:sz w:val="24"/>
          <w:szCs w:val="24"/>
        </w:rPr>
        <w:t>insured and regulated</w:t>
      </w:r>
      <w:r w:rsidR="49F18021" w:rsidRPr="005D58CB">
        <w:rPr>
          <w:rFonts w:ascii="Times New Roman" w:hAnsi="Times New Roman" w:cs="Times New Roman"/>
          <w:sz w:val="24"/>
          <w:szCs w:val="24"/>
        </w:rPr>
        <w:t xml:space="preserve"> financial institutions.</w:t>
      </w:r>
      <w:r w:rsidR="6B93117F" w:rsidRPr="005D58CB">
        <w:rPr>
          <w:rFonts w:ascii="Times New Roman" w:hAnsi="Times New Roman" w:cs="Times New Roman"/>
          <w:sz w:val="24"/>
          <w:szCs w:val="24"/>
        </w:rPr>
        <w:t xml:space="preserve"> </w:t>
      </w:r>
      <w:r w:rsidR="2ECD25EE" w:rsidRPr="005D58CB">
        <w:rPr>
          <w:rFonts w:ascii="Times New Roman" w:hAnsi="Times New Roman" w:cs="Times New Roman"/>
          <w:sz w:val="24"/>
          <w:szCs w:val="24"/>
        </w:rPr>
        <w:t>ICBA recognizes that 2023 will be a pivotal year as the industry prepares for the launch of FedNow and urges all community banks to develop and implement strategic plans to provide faster payments products and services to meet customer needs</w:t>
      </w:r>
      <w:r w:rsidR="2A0F5058" w:rsidRPr="005D58CB">
        <w:rPr>
          <w:rFonts w:ascii="Times New Roman" w:hAnsi="Times New Roman" w:cs="Times New Roman"/>
          <w:sz w:val="24"/>
          <w:szCs w:val="24"/>
        </w:rPr>
        <w:t>.</w:t>
      </w:r>
    </w:p>
    <w:p w14:paraId="45830955" w14:textId="0FFAAE8A" w:rsidR="000559CA" w:rsidRDefault="6B93117F" w:rsidP="005D58CB">
      <w:pPr>
        <w:spacing w:line="276" w:lineRule="auto"/>
        <w:rPr>
          <w:rFonts w:ascii="Times New Roman" w:hAnsi="Times New Roman" w:cs="Times New Roman"/>
          <w:sz w:val="24"/>
          <w:szCs w:val="24"/>
          <w:shd w:val="clear" w:color="auto" w:fill="FFFFFF"/>
        </w:rPr>
      </w:pPr>
      <w:r w:rsidRPr="005D58CB">
        <w:rPr>
          <w:rFonts w:ascii="Times New Roman" w:hAnsi="Times New Roman" w:cs="Times New Roman"/>
          <w:sz w:val="24"/>
          <w:szCs w:val="24"/>
        </w:rPr>
        <w:t xml:space="preserve">To </w:t>
      </w:r>
      <w:r w:rsidR="6535211C" w:rsidRPr="005D58CB">
        <w:rPr>
          <w:rFonts w:ascii="Times New Roman" w:hAnsi="Times New Roman" w:cs="Times New Roman"/>
          <w:sz w:val="24"/>
          <w:szCs w:val="24"/>
        </w:rPr>
        <w:t>safeguard</w:t>
      </w:r>
      <w:r w:rsidR="00313B5A" w:rsidRPr="005D58CB">
        <w:rPr>
          <w:rFonts w:ascii="Times New Roman" w:hAnsi="Times New Roman" w:cs="Times New Roman"/>
          <w:sz w:val="24"/>
          <w:szCs w:val="24"/>
        </w:rPr>
        <w:t xml:space="preserve"> a </w:t>
      </w:r>
      <w:r w:rsidR="00E64278" w:rsidRPr="005D58CB">
        <w:rPr>
          <w:rFonts w:ascii="Times New Roman" w:hAnsi="Times New Roman" w:cs="Times New Roman"/>
          <w:sz w:val="24"/>
          <w:szCs w:val="24"/>
        </w:rPr>
        <w:t>level playing field,</w:t>
      </w:r>
      <w:r w:rsidR="00565DB0" w:rsidRPr="005D58CB">
        <w:rPr>
          <w:rFonts w:ascii="Times New Roman" w:hAnsi="Times New Roman" w:cs="Times New Roman"/>
          <w:sz w:val="24"/>
          <w:szCs w:val="24"/>
        </w:rPr>
        <w:t xml:space="preserve"> ICBA is working to ensure community banks are included in </w:t>
      </w:r>
      <w:r w:rsidR="009A6EA1" w:rsidRPr="005D58CB">
        <w:rPr>
          <w:rFonts w:ascii="Times New Roman" w:hAnsi="Times New Roman" w:cs="Times New Roman"/>
          <w:sz w:val="24"/>
          <w:szCs w:val="24"/>
        </w:rPr>
        <w:t xml:space="preserve">the governance process, that rulemaking is transparent, timely and inclusive, and that </w:t>
      </w:r>
      <w:r w:rsidR="0035029C" w:rsidRPr="005D58CB">
        <w:rPr>
          <w:rFonts w:ascii="Times New Roman" w:hAnsi="Times New Roman" w:cs="Times New Roman"/>
          <w:sz w:val="24"/>
          <w:szCs w:val="24"/>
        </w:rPr>
        <w:t xml:space="preserve">new entrants into the industry </w:t>
      </w:r>
      <w:r w:rsidR="009A6EA1" w:rsidRPr="005D58CB">
        <w:rPr>
          <w:rFonts w:ascii="Times New Roman" w:hAnsi="Times New Roman" w:cs="Times New Roman"/>
          <w:sz w:val="24"/>
          <w:szCs w:val="24"/>
        </w:rPr>
        <w:t>are</w:t>
      </w:r>
      <w:r w:rsidR="00F73799" w:rsidRPr="005D58CB">
        <w:rPr>
          <w:rFonts w:ascii="Times New Roman" w:hAnsi="Times New Roman" w:cs="Times New Roman"/>
          <w:sz w:val="24"/>
          <w:szCs w:val="24"/>
        </w:rPr>
        <w:t xml:space="preserve"> </w:t>
      </w:r>
      <w:r w:rsidR="625B6CD5" w:rsidRPr="005D58CB">
        <w:rPr>
          <w:rFonts w:ascii="Times New Roman" w:hAnsi="Times New Roman" w:cs="Times New Roman"/>
          <w:sz w:val="24"/>
          <w:szCs w:val="24"/>
        </w:rPr>
        <w:t>regulated for safety and sound</w:t>
      </w:r>
      <w:r w:rsidR="00BF605D">
        <w:rPr>
          <w:rFonts w:ascii="Times New Roman" w:hAnsi="Times New Roman" w:cs="Times New Roman"/>
          <w:sz w:val="24"/>
          <w:szCs w:val="24"/>
        </w:rPr>
        <w:t>n</w:t>
      </w:r>
      <w:r w:rsidR="625B6CD5" w:rsidRPr="005D58CB">
        <w:rPr>
          <w:rFonts w:ascii="Times New Roman" w:hAnsi="Times New Roman" w:cs="Times New Roman"/>
          <w:sz w:val="24"/>
          <w:szCs w:val="24"/>
        </w:rPr>
        <w:t xml:space="preserve">ess. </w:t>
      </w:r>
      <w:r w:rsidR="00D93942" w:rsidRPr="005D58CB">
        <w:rPr>
          <w:rFonts w:ascii="Times New Roman" w:hAnsi="Times New Roman" w:cs="Times New Roman"/>
          <w:sz w:val="24"/>
          <w:szCs w:val="24"/>
          <w:shd w:val="clear" w:color="auto" w:fill="FFFFFF"/>
        </w:rPr>
        <w:t xml:space="preserve">Community bank payments systems must </w:t>
      </w:r>
      <w:r w:rsidR="7FE21968" w:rsidRPr="005D58CB">
        <w:rPr>
          <w:rFonts w:ascii="Times New Roman" w:hAnsi="Times New Roman" w:cs="Times New Roman"/>
          <w:sz w:val="24"/>
          <w:szCs w:val="24"/>
          <w:shd w:val="clear" w:color="auto" w:fill="FFFFFF"/>
        </w:rPr>
        <w:t xml:space="preserve">maintain choice and access and </w:t>
      </w:r>
      <w:r w:rsidR="00D93942" w:rsidRPr="005D58CB">
        <w:rPr>
          <w:rFonts w:ascii="Times New Roman" w:hAnsi="Times New Roman" w:cs="Times New Roman"/>
          <w:sz w:val="24"/>
          <w:szCs w:val="24"/>
          <w:shd w:val="clear" w:color="auto" w:fill="FFFFFF"/>
        </w:rPr>
        <w:t xml:space="preserve">not be limited through the imposition of </w:t>
      </w:r>
      <w:r w:rsidR="00D93942" w:rsidRPr="005D58CB">
        <w:rPr>
          <w:rFonts w:ascii="Times New Roman" w:hAnsi="Times New Roman" w:cs="Times New Roman"/>
          <w:sz w:val="24"/>
          <w:szCs w:val="24"/>
          <w:shd w:val="clear" w:color="auto" w:fill="FFFFFF"/>
        </w:rPr>
        <w:lastRenderedPageBreak/>
        <w:t>anticompetitive and discriminatory pricing or policies, membership requirements, operating rules or technological barriers.</w:t>
      </w:r>
    </w:p>
    <w:p w14:paraId="7700F872" w14:textId="77777777" w:rsidR="00207B74" w:rsidRPr="005D58CB" w:rsidRDefault="00207B74" w:rsidP="005D58CB">
      <w:pPr>
        <w:spacing w:line="276" w:lineRule="auto"/>
        <w:rPr>
          <w:rFonts w:ascii="Times New Roman" w:eastAsia="Times New Roman" w:hAnsi="Times New Roman" w:cs="Times New Roman"/>
          <w:b/>
          <w:sz w:val="24"/>
          <w:szCs w:val="24"/>
        </w:rPr>
      </w:pPr>
    </w:p>
    <w:p w14:paraId="4A507FEB" w14:textId="7E0BA5D0" w:rsidR="00207B74" w:rsidRDefault="00207B74" w:rsidP="005D58CB">
      <w:pPr>
        <w:shd w:val="clear" w:color="auto" w:fill="FFFFFF"/>
        <w:spacing w:line="276" w:lineRule="auto"/>
        <w:rPr>
          <w:rFonts w:ascii="Times New Roman" w:eastAsia="Times New Roman" w:hAnsi="Times New Roman" w:cs="Times New Roman"/>
          <w:sz w:val="24"/>
          <w:szCs w:val="24"/>
        </w:rPr>
      </w:pPr>
      <w:r>
        <w:rPr>
          <w:b/>
          <w:bCs/>
        </w:rPr>
        <w:t xml:space="preserve">[subhed] </w:t>
      </w:r>
      <w:r w:rsidR="00200398" w:rsidRPr="005D58CB">
        <w:rPr>
          <w:rFonts w:ascii="Times New Roman" w:eastAsia="Times New Roman" w:hAnsi="Times New Roman" w:cs="Times New Roman"/>
          <w:b/>
          <w:bCs/>
          <w:sz w:val="24"/>
          <w:szCs w:val="24"/>
        </w:rPr>
        <w:t>Fraud</w:t>
      </w:r>
    </w:p>
    <w:p w14:paraId="4DF8AA61" w14:textId="5F34B95E" w:rsidR="008E202D" w:rsidRPr="005D58CB" w:rsidRDefault="00F4464D" w:rsidP="005D58CB">
      <w:pPr>
        <w:shd w:val="clear" w:color="auto" w:fill="FFFFFF"/>
        <w:spacing w:line="276" w:lineRule="auto"/>
        <w:rPr>
          <w:rFonts w:ascii="Times New Roman" w:hAnsi="Times New Roman" w:cs="Times New Roman"/>
          <w:sz w:val="24"/>
          <w:szCs w:val="24"/>
        </w:rPr>
      </w:pPr>
      <w:r w:rsidRPr="005D58CB">
        <w:rPr>
          <w:rFonts w:ascii="Times New Roman" w:eastAsia="Times New Roman" w:hAnsi="Times New Roman" w:cs="Times New Roman"/>
          <w:sz w:val="24"/>
          <w:szCs w:val="24"/>
        </w:rPr>
        <w:t>Fraud remains a rampant p</w:t>
      </w:r>
      <w:r w:rsidR="00A82BC8" w:rsidRPr="005D58CB">
        <w:rPr>
          <w:rFonts w:ascii="Times New Roman" w:eastAsia="Times New Roman" w:hAnsi="Times New Roman" w:cs="Times New Roman"/>
          <w:sz w:val="24"/>
          <w:szCs w:val="24"/>
        </w:rPr>
        <w:t>roblem</w:t>
      </w:r>
      <w:r w:rsidR="00BF605D">
        <w:rPr>
          <w:rFonts w:ascii="Times New Roman" w:eastAsia="Times New Roman" w:hAnsi="Times New Roman" w:cs="Times New Roman"/>
          <w:sz w:val="24"/>
          <w:szCs w:val="24"/>
        </w:rPr>
        <w:t xml:space="preserve"> </w:t>
      </w:r>
      <w:r w:rsidR="00A82BC8" w:rsidRPr="005D58CB">
        <w:rPr>
          <w:rFonts w:ascii="Times New Roman" w:eastAsia="Times New Roman" w:hAnsi="Times New Roman" w:cs="Times New Roman"/>
          <w:sz w:val="24"/>
          <w:szCs w:val="24"/>
        </w:rPr>
        <w:t>and community banks frequently pay the price for others’ poor controls</w:t>
      </w:r>
      <w:r w:rsidR="006E2D7D" w:rsidRPr="005D58CB">
        <w:rPr>
          <w:rFonts w:ascii="Times New Roman" w:eastAsia="Times New Roman" w:hAnsi="Times New Roman" w:cs="Times New Roman"/>
          <w:sz w:val="24"/>
          <w:szCs w:val="24"/>
        </w:rPr>
        <w:t>, including P2P providers like Zelle</w:t>
      </w:r>
      <w:r w:rsidR="00A82BC8" w:rsidRPr="005D58CB">
        <w:rPr>
          <w:rFonts w:ascii="Times New Roman" w:eastAsia="Times New Roman" w:hAnsi="Times New Roman" w:cs="Times New Roman"/>
          <w:sz w:val="24"/>
          <w:szCs w:val="24"/>
        </w:rPr>
        <w:t xml:space="preserve">. </w:t>
      </w:r>
      <w:r w:rsidR="00AB6A15" w:rsidRPr="005D58CB">
        <w:rPr>
          <w:rFonts w:ascii="Times New Roman" w:eastAsia="Times New Roman" w:hAnsi="Times New Roman" w:cs="Times New Roman"/>
          <w:sz w:val="24"/>
          <w:szCs w:val="24"/>
        </w:rPr>
        <w:t xml:space="preserve">As regulators debate </w:t>
      </w:r>
      <w:r w:rsidR="00BC7FB1" w:rsidRPr="005D58CB">
        <w:rPr>
          <w:rFonts w:ascii="Times New Roman" w:hAnsi="Times New Roman" w:cs="Times New Roman"/>
          <w:sz w:val="24"/>
          <w:szCs w:val="24"/>
        </w:rPr>
        <w:t>customer liability, levels of Reg E protections and where the line is drawn around payment responsibility</w:t>
      </w:r>
      <w:r w:rsidR="00AB6A15" w:rsidRPr="005D58CB">
        <w:rPr>
          <w:rFonts w:ascii="Times New Roman" w:hAnsi="Times New Roman" w:cs="Times New Roman"/>
          <w:sz w:val="24"/>
          <w:szCs w:val="24"/>
        </w:rPr>
        <w:t xml:space="preserve">, ICBA </w:t>
      </w:r>
      <w:r w:rsidR="002400B5" w:rsidRPr="005D58CB">
        <w:rPr>
          <w:rFonts w:ascii="Times New Roman" w:hAnsi="Times New Roman" w:cs="Times New Roman"/>
          <w:sz w:val="24"/>
          <w:szCs w:val="24"/>
        </w:rPr>
        <w:t>believes regulatory restrictions</w:t>
      </w:r>
      <w:r w:rsidR="00021110" w:rsidRPr="005D58CB">
        <w:rPr>
          <w:rFonts w:ascii="Times New Roman" w:hAnsi="Times New Roman" w:cs="Times New Roman"/>
          <w:sz w:val="24"/>
          <w:szCs w:val="24"/>
        </w:rPr>
        <w:t xml:space="preserve"> aren’t the answer</w:t>
      </w:r>
      <w:r w:rsidR="00A1704F" w:rsidRPr="005D58CB">
        <w:rPr>
          <w:rFonts w:ascii="Times New Roman" w:hAnsi="Times New Roman" w:cs="Times New Roman"/>
          <w:sz w:val="24"/>
          <w:szCs w:val="24"/>
        </w:rPr>
        <w:t>.</w:t>
      </w:r>
      <w:r w:rsidR="00021110" w:rsidRPr="005D58CB">
        <w:rPr>
          <w:rFonts w:ascii="Times New Roman" w:hAnsi="Times New Roman" w:cs="Times New Roman"/>
          <w:sz w:val="24"/>
          <w:szCs w:val="24"/>
        </w:rPr>
        <w:t xml:space="preserve"> </w:t>
      </w:r>
      <w:r w:rsidR="00A1704F" w:rsidRPr="005D58CB">
        <w:rPr>
          <w:rFonts w:ascii="Times New Roman" w:hAnsi="Times New Roman" w:cs="Times New Roman"/>
          <w:sz w:val="24"/>
          <w:szCs w:val="24"/>
        </w:rPr>
        <w:t>P</w:t>
      </w:r>
      <w:r w:rsidR="00021110" w:rsidRPr="005D58CB">
        <w:rPr>
          <w:rFonts w:ascii="Times New Roman" w:hAnsi="Times New Roman" w:cs="Times New Roman"/>
          <w:sz w:val="24"/>
          <w:szCs w:val="24"/>
        </w:rPr>
        <w:t xml:space="preserve">olicymakers </w:t>
      </w:r>
      <w:r w:rsidR="002400B5" w:rsidRPr="005D58CB">
        <w:rPr>
          <w:rFonts w:ascii="Times New Roman" w:hAnsi="Times New Roman" w:cs="Times New Roman"/>
          <w:sz w:val="24"/>
          <w:szCs w:val="24"/>
        </w:rPr>
        <w:t>should focus more on the fraudsters and work with P2P technology vendors to maximize consumer awareness of fraud schemes and implement safeguards, such as multifactor authentication, to reduce consumer approvals of fraudulent transactions without delaying consumer</w:t>
      </w:r>
      <w:r w:rsidR="00E86D71" w:rsidRPr="005D58CB">
        <w:rPr>
          <w:rFonts w:ascii="Times New Roman" w:hAnsi="Times New Roman" w:cs="Times New Roman"/>
          <w:sz w:val="24"/>
          <w:szCs w:val="24"/>
        </w:rPr>
        <w:t>s</w:t>
      </w:r>
      <w:r w:rsidR="00207B74">
        <w:rPr>
          <w:rFonts w:ascii="Times New Roman" w:hAnsi="Times New Roman" w:cs="Times New Roman"/>
          <w:sz w:val="24"/>
          <w:szCs w:val="24"/>
        </w:rPr>
        <w:t>’</w:t>
      </w:r>
      <w:r w:rsidR="002400B5" w:rsidRPr="005D58CB">
        <w:rPr>
          <w:rFonts w:ascii="Times New Roman" w:hAnsi="Times New Roman" w:cs="Times New Roman"/>
          <w:sz w:val="24"/>
          <w:szCs w:val="24"/>
        </w:rPr>
        <w:t xml:space="preserve"> access to their funds.</w:t>
      </w:r>
    </w:p>
    <w:p w14:paraId="07D01D15" w14:textId="7EFDA178" w:rsidR="00207B74" w:rsidRDefault="00207B74" w:rsidP="00C91D84">
      <w:pPr>
        <w:pStyle w:val="NormalWeb"/>
        <w:shd w:val="clear" w:color="auto" w:fill="FFFFFF"/>
        <w:spacing w:before="0" w:beforeAutospacing="0" w:after="160" w:afterAutospacing="0" w:line="276" w:lineRule="auto"/>
      </w:pPr>
    </w:p>
    <w:p w14:paraId="45D8FE1B" w14:textId="1B1D9CF5" w:rsidR="00BF605D" w:rsidRDefault="00BF605D" w:rsidP="00C91D84">
      <w:pPr>
        <w:pStyle w:val="NormalWeb"/>
        <w:shd w:val="clear" w:color="auto" w:fill="FFFFFF"/>
        <w:spacing w:before="0" w:beforeAutospacing="0" w:after="160" w:afterAutospacing="0" w:line="276" w:lineRule="auto"/>
      </w:pPr>
      <w:r w:rsidRPr="00615C8C">
        <w:rPr>
          <w:b/>
          <w:bCs/>
        </w:rPr>
        <w:t>Lilly Thomas</w:t>
      </w:r>
      <w:r>
        <w:t xml:space="preserve"> (</w:t>
      </w:r>
      <w:r w:rsidRPr="00BF605D">
        <w:t>lilly.thomas@icba.org</w:t>
      </w:r>
      <w:r>
        <w:t>) is ICBA’s e</w:t>
      </w:r>
      <w:r w:rsidRPr="00BF605D">
        <w:t xml:space="preserve">xecutive </w:t>
      </w:r>
      <w:r>
        <w:t>v</w:t>
      </w:r>
      <w:r w:rsidRPr="00BF605D">
        <w:t xml:space="preserve">ice </w:t>
      </w:r>
      <w:r>
        <w:t>p</w:t>
      </w:r>
      <w:r w:rsidRPr="00BF605D">
        <w:t xml:space="preserve">resident and </w:t>
      </w:r>
      <w:r>
        <w:t>s</w:t>
      </w:r>
      <w:r w:rsidRPr="00BF605D">
        <w:t xml:space="preserve">enior </w:t>
      </w:r>
      <w:r>
        <w:t>r</w:t>
      </w:r>
      <w:r w:rsidRPr="00BF605D">
        <w:t xml:space="preserve">egulatory </w:t>
      </w:r>
      <w:r>
        <w:t>c</w:t>
      </w:r>
      <w:r w:rsidRPr="00BF605D">
        <w:t>ounsel</w:t>
      </w:r>
      <w:r>
        <w:t>.</w:t>
      </w:r>
    </w:p>
    <w:p w14:paraId="2C50832F" w14:textId="4FD7388B" w:rsidR="005D58CB" w:rsidRDefault="005D58CB" w:rsidP="00C91D84">
      <w:pPr>
        <w:pStyle w:val="NormalWeb"/>
        <w:shd w:val="clear" w:color="auto" w:fill="FFFFFF"/>
        <w:spacing w:before="0" w:beforeAutospacing="0" w:after="160" w:afterAutospacing="0" w:line="276" w:lineRule="auto"/>
      </w:pPr>
      <w:r>
        <w:t>[ends]</w:t>
      </w:r>
    </w:p>
    <w:p w14:paraId="0EA11B3E" w14:textId="559EDED5" w:rsidR="00207B74" w:rsidRDefault="00207B74" w:rsidP="00C91D84">
      <w:pPr>
        <w:pStyle w:val="NormalWeb"/>
        <w:shd w:val="clear" w:color="auto" w:fill="FFFFFF"/>
        <w:spacing w:before="0" w:beforeAutospacing="0" w:after="160" w:afterAutospacing="0" w:line="276" w:lineRule="auto"/>
      </w:pPr>
    </w:p>
    <w:p w14:paraId="4AD76BE4" w14:textId="5966F62D" w:rsidR="00207B74" w:rsidRDefault="00207B74" w:rsidP="00C91D84">
      <w:pPr>
        <w:pStyle w:val="NormalWeb"/>
        <w:shd w:val="clear" w:color="auto" w:fill="FFFFFF"/>
        <w:spacing w:before="0" w:beforeAutospacing="0" w:after="160" w:afterAutospacing="0" w:line="276" w:lineRule="auto"/>
      </w:pPr>
      <w:r>
        <w:t xml:space="preserve">[boxout] </w:t>
      </w:r>
    </w:p>
    <w:p w14:paraId="29BD765D" w14:textId="210AA36C" w:rsidR="00207B74" w:rsidRPr="00615C8C" w:rsidRDefault="00207B74" w:rsidP="00C91D84">
      <w:pPr>
        <w:pStyle w:val="NormalWeb"/>
        <w:shd w:val="clear" w:color="auto" w:fill="FFFFFF"/>
        <w:spacing w:before="0" w:beforeAutospacing="0" w:after="160" w:afterAutospacing="0" w:line="276" w:lineRule="auto"/>
        <w:rPr>
          <w:b/>
          <w:bCs/>
        </w:rPr>
      </w:pPr>
      <w:r w:rsidRPr="00615C8C">
        <w:rPr>
          <w:b/>
          <w:bCs/>
        </w:rPr>
        <w:t>We need your voice</w:t>
      </w:r>
    </w:p>
    <w:p w14:paraId="5F5AC65B" w14:textId="3C15F93A" w:rsidR="00207B74" w:rsidRPr="005D58CB" w:rsidRDefault="00207B74" w:rsidP="00207B74">
      <w:pPr>
        <w:pStyle w:val="NormalWeb"/>
        <w:shd w:val="clear" w:color="auto" w:fill="FFFFFF"/>
        <w:spacing w:before="0" w:beforeAutospacing="0" w:after="160" w:afterAutospacing="0" w:line="276" w:lineRule="auto"/>
      </w:pPr>
      <w:r w:rsidRPr="005D58CB">
        <w:t>Community bankers have an important role to play in this advocacy</w:t>
      </w:r>
      <w:r>
        <w:t xml:space="preserve"> work</w:t>
      </w:r>
      <w:r w:rsidRPr="005D58CB">
        <w:t xml:space="preserve">. As ICBA engages with policymakers and regulators, community bankers should check in </w:t>
      </w:r>
      <w:r>
        <w:t xml:space="preserve">regularly </w:t>
      </w:r>
      <w:r w:rsidRPr="005D58CB">
        <w:t>with the ICBA Advocacy Toolkit to find opportunities and language to comment on proposed rules and explain the real-world impact of regulation on community banks and the communities they serve.</w:t>
      </w:r>
    </w:p>
    <w:p w14:paraId="38788652" w14:textId="1BD9A21F" w:rsidR="00207B74" w:rsidRDefault="00207B74" w:rsidP="00207B74">
      <w:pPr>
        <w:pStyle w:val="NormalWeb"/>
        <w:shd w:val="clear" w:color="auto" w:fill="FFFFFF"/>
        <w:spacing w:before="0" w:beforeAutospacing="0" w:after="160" w:afterAutospacing="0" w:line="276" w:lineRule="auto"/>
        <w:rPr>
          <w:b/>
          <w:bCs/>
          <w:i/>
          <w:iCs/>
        </w:rPr>
      </w:pPr>
      <w:r>
        <w:t>Help ICBA</w:t>
      </w:r>
      <w:r w:rsidRPr="005D58CB">
        <w:t xml:space="preserve"> help shape the regulatory road ahead</w:t>
      </w:r>
      <w:r>
        <w:t xml:space="preserve"> at </w:t>
      </w:r>
      <w:r w:rsidRPr="00615C8C">
        <w:rPr>
          <w:b/>
          <w:bCs/>
          <w:i/>
          <w:iCs/>
        </w:rPr>
        <w:t>icba.org/advocacy</w:t>
      </w:r>
    </w:p>
    <w:p w14:paraId="072D3DE8" w14:textId="5FE71C1F" w:rsidR="00207B74" w:rsidRPr="00207B74" w:rsidRDefault="00207B74" w:rsidP="00207B74">
      <w:pPr>
        <w:pStyle w:val="NormalWeb"/>
        <w:shd w:val="clear" w:color="auto" w:fill="FFFFFF"/>
        <w:spacing w:before="0" w:beforeAutospacing="0" w:after="160" w:afterAutospacing="0" w:line="276" w:lineRule="auto"/>
      </w:pPr>
      <w:r w:rsidRPr="00615C8C">
        <w:t>[Boxout ends]</w:t>
      </w:r>
    </w:p>
    <w:p w14:paraId="637DD02C" w14:textId="77777777" w:rsidR="00207B74" w:rsidRDefault="00207B74" w:rsidP="00C91D84">
      <w:pPr>
        <w:pStyle w:val="NormalWeb"/>
        <w:shd w:val="clear" w:color="auto" w:fill="FFFFFF"/>
        <w:spacing w:before="0" w:beforeAutospacing="0" w:after="160" w:afterAutospacing="0" w:line="276" w:lineRule="auto"/>
      </w:pPr>
    </w:p>
    <w:p w14:paraId="42C4AF62" w14:textId="77777777" w:rsidR="00207B74" w:rsidRDefault="00207B74" w:rsidP="00C91D84">
      <w:pPr>
        <w:pStyle w:val="NormalWeb"/>
        <w:shd w:val="clear" w:color="auto" w:fill="FFFFFF"/>
        <w:spacing w:before="0" w:beforeAutospacing="0" w:after="160" w:afterAutospacing="0" w:line="276" w:lineRule="auto"/>
      </w:pPr>
    </w:p>
    <w:p w14:paraId="209DC71B" w14:textId="4805DDD7" w:rsidR="00BF605D" w:rsidRDefault="00BF605D" w:rsidP="00C91D84">
      <w:pPr>
        <w:pStyle w:val="NormalWeb"/>
        <w:shd w:val="clear" w:color="auto" w:fill="FFFFFF"/>
        <w:spacing w:before="0" w:beforeAutospacing="0" w:after="160" w:afterAutospacing="0" w:line="276" w:lineRule="auto"/>
      </w:pPr>
      <w:r>
        <w:t>[pull quote]</w:t>
      </w:r>
    </w:p>
    <w:p w14:paraId="1738AACA" w14:textId="25D14AA2" w:rsidR="00BF605D" w:rsidRPr="00207B74" w:rsidRDefault="00BF605D" w:rsidP="00615C8C">
      <w:pPr>
        <w:spacing w:line="276" w:lineRule="auto"/>
      </w:pPr>
      <w:r w:rsidRPr="005D58CB">
        <w:rPr>
          <w:rFonts w:ascii="Times New Roman" w:hAnsi="Times New Roman" w:cs="Times New Roman"/>
          <w:sz w:val="24"/>
          <w:szCs w:val="24"/>
        </w:rPr>
        <w:t>ICBA recognizes that 2023 will be a pivotal year as the industry prepares for the launch of FedNow and urges all community banks to develop and implement strategic plans to provide faster payments products and services to meet customer needs.</w:t>
      </w:r>
    </w:p>
    <w:sectPr w:rsidR="00BF605D" w:rsidRPr="00207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BDC2"/>
    <w:multiLevelType w:val="hybridMultilevel"/>
    <w:tmpl w:val="FFFFFFFF"/>
    <w:lvl w:ilvl="0" w:tplc="0F70AEFA">
      <w:start w:val="1"/>
      <w:numFmt w:val="bullet"/>
      <w:lvlText w:val="·"/>
      <w:lvlJc w:val="left"/>
      <w:pPr>
        <w:ind w:left="720" w:hanging="360"/>
      </w:pPr>
      <w:rPr>
        <w:rFonts w:ascii="Symbol" w:hAnsi="Symbol" w:hint="default"/>
      </w:rPr>
    </w:lvl>
    <w:lvl w:ilvl="1" w:tplc="63ECE816">
      <w:start w:val="1"/>
      <w:numFmt w:val="bullet"/>
      <w:lvlText w:val="o"/>
      <w:lvlJc w:val="left"/>
      <w:pPr>
        <w:ind w:left="1440" w:hanging="360"/>
      </w:pPr>
      <w:rPr>
        <w:rFonts w:ascii="Courier New" w:hAnsi="Courier New" w:hint="default"/>
      </w:rPr>
    </w:lvl>
    <w:lvl w:ilvl="2" w:tplc="173A73DA">
      <w:start w:val="1"/>
      <w:numFmt w:val="bullet"/>
      <w:lvlText w:val=""/>
      <w:lvlJc w:val="left"/>
      <w:pPr>
        <w:ind w:left="2160" w:hanging="360"/>
      </w:pPr>
      <w:rPr>
        <w:rFonts w:ascii="Wingdings" w:hAnsi="Wingdings" w:hint="default"/>
      </w:rPr>
    </w:lvl>
    <w:lvl w:ilvl="3" w:tplc="D7BE1256">
      <w:start w:val="1"/>
      <w:numFmt w:val="bullet"/>
      <w:lvlText w:val=""/>
      <w:lvlJc w:val="left"/>
      <w:pPr>
        <w:ind w:left="2880" w:hanging="360"/>
      </w:pPr>
      <w:rPr>
        <w:rFonts w:ascii="Symbol" w:hAnsi="Symbol" w:hint="default"/>
      </w:rPr>
    </w:lvl>
    <w:lvl w:ilvl="4" w:tplc="D4BCA9B2">
      <w:start w:val="1"/>
      <w:numFmt w:val="bullet"/>
      <w:lvlText w:val="o"/>
      <w:lvlJc w:val="left"/>
      <w:pPr>
        <w:ind w:left="3600" w:hanging="360"/>
      </w:pPr>
      <w:rPr>
        <w:rFonts w:ascii="Courier New" w:hAnsi="Courier New" w:hint="default"/>
      </w:rPr>
    </w:lvl>
    <w:lvl w:ilvl="5" w:tplc="C302A5E8">
      <w:start w:val="1"/>
      <w:numFmt w:val="bullet"/>
      <w:lvlText w:val=""/>
      <w:lvlJc w:val="left"/>
      <w:pPr>
        <w:ind w:left="4320" w:hanging="360"/>
      </w:pPr>
      <w:rPr>
        <w:rFonts w:ascii="Wingdings" w:hAnsi="Wingdings" w:hint="default"/>
      </w:rPr>
    </w:lvl>
    <w:lvl w:ilvl="6" w:tplc="510CCC2A">
      <w:start w:val="1"/>
      <w:numFmt w:val="bullet"/>
      <w:lvlText w:val=""/>
      <w:lvlJc w:val="left"/>
      <w:pPr>
        <w:ind w:left="5040" w:hanging="360"/>
      </w:pPr>
      <w:rPr>
        <w:rFonts w:ascii="Symbol" w:hAnsi="Symbol" w:hint="default"/>
      </w:rPr>
    </w:lvl>
    <w:lvl w:ilvl="7" w:tplc="E26C076A">
      <w:start w:val="1"/>
      <w:numFmt w:val="bullet"/>
      <w:lvlText w:val="o"/>
      <w:lvlJc w:val="left"/>
      <w:pPr>
        <w:ind w:left="5760" w:hanging="360"/>
      </w:pPr>
      <w:rPr>
        <w:rFonts w:ascii="Courier New" w:hAnsi="Courier New" w:hint="default"/>
      </w:rPr>
    </w:lvl>
    <w:lvl w:ilvl="8" w:tplc="B706DD7E">
      <w:start w:val="1"/>
      <w:numFmt w:val="bullet"/>
      <w:lvlText w:val=""/>
      <w:lvlJc w:val="left"/>
      <w:pPr>
        <w:ind w:left="6480" w:hanging="360"/>
      </w:pPr>
      <w:rPr>
        <w:rFonts w:ascii="Wingdings" w:hAnsi="Wingdings" w:hint="default"/>
      </w:rPr>
    </w:lvl>
  </w:abstractNum>
  <w:abstractNum w:abstractNumId="1" w15:restartNumberingAfterBreak="0">
    <w:nsid w:val="16AF59F7"/>
    <w:multiLevelType w:val="multilevel"/>
    <w:tmpl w:val="2B98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11645"/>
    <w:multiLevelType w:val="multilevel"/>
    <w:tmpl w:val="F6D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614EF"/>
    <w:multiLevelType w:val="multilevel"/>
    <w:tmpl w:val="A5EE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A27E0"/>
    <w:multiLevelType w:val="multilevel"/>
    <w:tmpl w:val="D24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178507">
    <w:abstractNumId w:val="2"/>
  </w:num>
  <w:num w:numId="2" w16cid:durableId="1383483429">
    <w:abstractNumId w:val="4"/>
  </w:num>
  <w:num w:numId="3" w16cid:durableId="379551070">
    <w:abstractNumId w:val="3"/>
  </w:num>
  <w:num w:numId="4" w16cid:durableId="1257402568">
    <w:abstractNumId w:val="1"/>
  </w:num>
  <w:num w:numId="5" w16cid:durableId="27086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98"/>
    <w:rsid w:val="00003386"/>
    <w:rsid w:val="00015EAB"/>
    <w:rsid w:val="00021110"/>
    <w:rsid w:val="000240F5"/>
    <w:rsid w:val="000267D3"/>
    <w:rsid w:val="000559CA"/>
    <w:rsid w:val="000603B9"/>
    <w:rsid w:val="0008657F"/>
    <w:rsid w:val="00091243"/>
    <w:rsid w:val="000F575C"/>
    <w:rsid w:val="001037EB"/>
    <w:rsid w:val="001254E6"/>
    <w:rsid w:val="00154AA3"/>
    <w:rsid w:val="00173C96"/>
    <w:rsid w:val="001B50BF"/>
    <w:rsid w:val="001C2490"/>
    <w:rsid w:val="00200398"/>
    <w:rsid w:val="00204CE6"/>
    <w:rsid w:val="00207B74"/>
    <w:rsid w:val="002354E8"/>
    <w:rsid w:val="002400B5"/>
    <w:rsid w:val="0026102C"/>
    <w:rsid w:val="002710C6"/>
    <w:rsid w:val="002A69DD"/>
    <w:rsid w:val="00313B5A"/>
    <w:rsid w:val="0031745F"/>
    <w:rsid w:val="00346157"/>
    <w:rsid w:val="0035029C"/>
    <w:rsid w:val="003703E3"/>
    <w:rsid w:val="00372360"/>
    <w:rsid w:val="00387A34"/>
    <w:rsid w:val="003A3AE1"/>
    <w:rsid w:val="003C07B7"/>
    <w:rsid w:val="003D0D17"/>
    <w:rsid w:val="003F7A20"/>
    <w:rsid w:val="00411E62"/>
    <w:rsid w:val="00422AB3"/>
    <w:rsid w:val="00431233"/>
    <w:rsid w:val="00432CDF"/>
    <w:rsid w:val="0046427B"/>
    <w:rsid w:val="004905D7"/>
    <w:rsid w:val="004A7B56"/>
    <w:rsid w:val="004B7594"/>
    <w:rsid w:val="004F0CDE"/>
    <w:rsid w:val="004F2F45"/>
    <w:rsid w:val="005043F9"/>
    <w:rsid w:val="00521B74"/>
    <w:rsid w:val="005223E7"/>
    <w:rsid w:val="00535960"/>
    <w:rsid w:val="00557C5B"/>
    <w:rsid w:val="00565DB0"/>
    <w:rsid w:val="005B61AD"/>
    <w:rsid w:val="005B734E"/>
    <w:rsid w:val="005D58CB"/>
    <w:rsid w:val="00607B99"/>
    <w:rsid w:val="006125DF"/>
    <w:rsid w:val="00615C8C"/>
    <w:rsid w:val="006C7CB0"/>
    <w:rsid w:val="006E2D7D"/>
    <w:rsid w:val="0071288A"/>
    <w:rsid w:val="0072320A"/>
    <w:rsid w:val="00781C3D"/>
    <w:rsid w:val="007A42CC"/>
    <w:rsid w:val="00826D55"/>
    <w:rsid w:val="00835DA7"/>
    <w:rsid w:val="00862B59"/>
    <w:rsid w:val="00877675"/>
    <w:rsid w:val="00883166"/>
    <w:rsid w:val="008E202D"/>
    <w:rsid w:val="009A6EA1"/>
    <w:rsid w:val="009C254F"/>
    <w:rsid w:val="00A156FE"/>
    <w:rsid w:val="00A159AA"/>
    <w:rsid w:val="00A1704F"/>
    <w:rsid w:val="00A26D42"/>
    <w:rsid w:val="00A326E3"/>
    <w:rsid w:val="00A4695B"/>
    <w:rsid w:val="00A82BC8"/>
    <w:rsid w:val="00AA623A"/>
    <w:rsid w:val="00AB6A15"/>
    <w:rsid w:val="00AB711A"/>
    <w:rsid w:val="00B416C1"/>
    <w:rsid w:val="00B4240B"/>
    <w:rsid w:val="00B7375A"/>
    <w:rsid w:val="00B9059E"/>
    <w:rsid w:val="00BA5271"/>
    <w:rsid w:val="00BA71BC"/>
    <w:rsid w:val="00BC2BF2"/>
    <w:rsid w:val="00BC2D81"/>
    <w:rsid w:val="00BC7750"/>
    <w:rsid w:val="00BC7FB1"/>
    <w:rsid w:val="00BE5D49"/>
    <w:rsid w:val="00BF605D"/>
    <w:rsid w:val="00C23953"/>
    <w:rsid w:val="00C57039"/>
    <w:rsid w:val="00C71042"/>
    <w:rsid w:val="00C834F7"/>
    <w:rsid w:val="00C91D84"/>
    <w:rsid w:val="00C9796E"/>
    <w:rsid w:val="00CA0551"/>
    <w:rsid w:val="00CB0FD7"/>
    <w:rsid w:val="00CB6319"/>
    <w:rsid w:val="00CC5851"/>
    <w:rsid w:val="00D80AB7"/>
    <w:rsid w:val="00D830EF"/>
    <w:rsid w:val="00D93942"/>
    <w:rsid w:val="00DA7143"/>
    <w:rsid w:val="00DC7276"/>
    <w:rsid w:val="00DC7F34"/>
    <w:rsid w:val="00DD325D"/>
    <w:rsid w:val="00DD4A05"/>
    <w:rsid w:val="00DF756D"/>
    <w:rsid w:val="00DF7D83"/>
    <w:rsid w:val="00E3299A"/>
    <w:rsid w:val="00E64278"/>
    <w:rsid w:val="00E86D71"/>
    <w:rsid w:val="00E86E58"/>
    <w:rsid w:val="00E96203"/>
    <w:rsid w:val="00EB5B58"/>
    <w:rsid w:val="00EC7B15"/>
    <w:rsid w:val="00EE4AC0"/>
    <w:rsid w:val="00EF5BF8"/>
    <w:rsid w:val="00F133D7"/>
    <w:rsid w:val="00F20BE5"/>
    <w:rsid w:val="00F40E8F"/>
    <w:rsid w:val="00F4464D"/>
    <w:rsid w:val="00F4527B"/>
    <w:rsid w:val="00F6522A"/>
    <w:rsid w:val="00F73799"/>
    <w:rsid w:val="00FF34EE"/>
    <w:rsid w:val="027E0177"/>
    <w:rsid w:val="04202ACC"/>
    <w:rsid w:val="05619B82"/>
    <w:rsid w:val="10AF9F4B"/>
    <w:rsid w:val="1884479B"/>
    <w:rsid w:val="1CBB4272"/>
    <w:rsid w:val="1D716389"/>
    <w:rsid w:val="1FE8CA9F"/>
    <w:rsid w:val="2129D6AE"/>
    <w:rsid w:val="28E941DC"/>
    <w:rsid w:val="296FC6ED"/>
    <w:rsid w:val="2A0F5058"/>
    <w:rsid w:val="2ECD25EE"/>
    <w:rsid w:val="31CD53DD"/>
    <w:rsid w:val="3681F14A"/>
    <w:rsid w:val="400D5879"/>
    <w:rsid w:val="42F87A68"/>
    <w:rsid w:val="46D72C79"/>
    <w:rsid w:val="49F18021"/>
    <w:rsid w:val="4EA28D90"/>
    <w:rsid w:val="50DB8F51"/>
    <w:rsid w:val="5680B8A7"/>
    <w:rsid w:val="5A48A03B"/>
    <w:rsid w:val="5F8024F7"/>
    <w:rsid w:val="60AFC263"/>
    <w:rsid w:val="615E5B96"/>
    <w:rsid w:val="620461D4"/>
    <w:rsid w:val="625B6CD5"/>
    <w:rsid w:val="6535211C"/>
    <w:rsid w:val="6AD7DBB3"/>
    <w:rsid w:val="6B93117F"/>
    <w:rsid w:val="6C965BC6"/>
    <w:rsid w:val="716639E1"/>
    <w:rsid w:val="770EF381"/>
    <w:rsid w:val="7751E67B"/>
    <w:rsid w:val="7DD83540"/>
    <w:rsid w:val="7FE2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AB7E"/>
  <w15:chartTrackingRefBased/>
  <w15:docId w15:val="{CA619F10-4CD8-4FC1-84E1-0470DE41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0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398"/>
    <w:rPr>
      <w:color w:val="0000FF"/>
      <w:u w:val="single"/>
    </w:rPr>
  </w:style>
  <w:style w:type="paragraph" w:styleId="NormalWeb">
    <w:name w:val="Normal (Web)"/>
    <w:basedOn w:val="Normal"/>
    <w:uiPriority w:val="99"/>
    <w:unhideWhenUsed/>
    <w:rsid w:val="00200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398"/>
    <w:rPr>
      <w:b/>
      <w:bCs/>
    </w:rPr>
  </w:style>
  <w:style w:type="character" w:customStyle="1" w:styleId="Heading3Char">
    <w:name w:val="Heading 3 Char"/>
    <w:basedOn w:val="DefaultParagraphFont"/>
    <w:link w:val="Heading3"/>
    <w:uiPriority w:val="9"/>
    <w:rsid w:val="00200398"/>
    <w:rPr>
      <w:rFonts w:ascii="Times New Roman" w:eastAsia="Times New Roman" w:hAnsi="Times New Roman" w:cs="Times New Roman"/>
      <w:b/>
      <w:bCs/>
      <w:sz w:val="27"/>
      <w:szCs w:val="27"/>
    </w:rPr>
  </w:style>
  <w:style w:type="paragraph" w:styleId="Revision">
    <w:name w:val="Revision"/>
    <w:hidden/>
    <w:uiPriority w:val="99"/>
    <w:semiHidden/>
    <w:rsid w:val="00DF756D"/>
    <w:pPr>
      <w:spacing w:after="0" w:line="240" w:lineRule="auto"/>
    </w:pPr>
  </w:style>
  <w:style w:type="paragraph" w:styleId="CommentText">
    <w:name w:val="annotation text"/>
    <w:basedOn w:val="Normal"/>
    <w:link w:val="CommentTextChar"/>
    <w:uiPriority w:val="99"/>
    <w:semiHidden/>
    <w:unhideWhenUsed/>
    <w:rsid w:val="000F575C"/>
    <w:pPr>
      <w:spacing w:line="240" w:lineRule="auto"/>
    </w:pPr>
    <w:rPr>
      <w:sz w:val="20"/>
      <w:szCs w:val="20"/>
    </w:rPr>
  </w:style>
  <w:style w:type="character" w:customStyle="1" w:styleId="CommentTextChar">
    <w:name w:val="Comment Text Char"/>
    <w:basedOn w:val="DefaultParagraphFont"/>
    <w:link w:val="CommentText"/>
    <w:uiPriority w:val="99"/>
    <w:semiHidden/>
    <w:rsid w:val="000F575C"/>
    <w:rPr>
      <w:sz w:val="20"/>
      <w:szCs w:val="20"/>
    </w:rPr>
  </w:style>
  <w:style w:type="character" w:styleId="CommentReference">
    <w:name w:val="annotation reference"/>
    <w:basedOn w:val="DefaultParagraphFont"/>
    <w:uiPriority w:val="99"/>
    <w:semiHidden/>
    <w:unhideWhenUsed/>
    <w:rsid w:val="000F575C"/>
    <w:rPr>
      <w:sz w:val="16"/>
      <w:szCs w:val="16"/>
    </w:rPr>
  </w:style>
  <w:style w:type="character" w:customStyle="1" w:styleId="cf01">
    <w:name w:val="cf01"/>
    <w:basedOn w:val="DefaultParagraphFont"/>
    <w:rsid w:val="008E202D"/>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D58CB"/>
    <w:rPr>
      <w:b/>
      <w:bCs/>
    </w:rPr>
  </w:style>
  <w:style w:type="character" w:customStyle="1" w:styleId="CommentSubjectChar">
    <w:name w:val="Comment Subject Char"/>
    <w:basedOn w:val="CommentTextChar"/>
    <w:link w:val="CommentSubject"/>
    <w:uiPriority w:val="99"/>
    <w:semiHidden/>
    <w:rsid w:val="005D58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4659">
      <w:bodyDiv w:val="1"/>
      <w:marLeft w:val="0"/>
      <w:marRight w:val="0"/>
      <w:marTop w:val="0"/>
      <w:marBottom w:val="0"/>
      <w:divBdr>
        <w:top w:val="none" w:sz="0" w:space="0" w:color="auto"/>
        <w:left w:val="none" w:sz="0" w:space="0" w:color="auto"/>
        <w:bottom w:val="none" w:sz="0" w:space="0" w:color="auto"/>
        <w:right w:val="none" w:sz="0" w:space="0" w:color="auto"/>
      </w:divBdr>
    </w:div>
    <w:div w:id="470564955">
      <w:bodyDiv w:val="1"/>
      <w:marLeft w:val="0"/>
      <w:marRight w:val="0"/>
      <w:marTop w:val="0"/>
      <w:marBottom w:val="0"/>
      <w:divBdr>
        <w:top w:val="none" w:sz="0" w:space="0" w:color="auto"/>
        <w:left w:val="none" w:sz="0" w:space="0" w:color="auto"/>
        <w:bottom w:val="none" w:sz="0" w:space="0" w:color="auto"/>
        <w:right w:val="none" w:sz="0" w:space="0" w:color="auto"/>
      </w:divBdr>
    </w:div>
    <w:div w:id="497115686">
      <w:bodyDiv w:val="1"/>
      <w:marLeft w:val="0"/>
      <w:marRight w:val="0"/>
      <w:marTop w:val="0"/>
      <w:marBottom w:val="0"/>
      <w:divBdr>
        <w:top w:val="none" w:sz="0" w:space="0" w:color="auto"/>
        <w:left w:val="none" w:sz="0" w:space="0" w:color="auto"/>
        <w:bottom w:val="none" w:sz="0" w:space="0" w:color="auto"/>
        <w:right w:val="none" w:sz="0" w:space="0" w:color="auto"/>
      </w:divBdr>
      <w:divsChild>
        <w:div w:id="1497499821">
          <w:marLeft w:val="0"/>
          <w:marRight w:val="0"/>
          <w:marTop w:val="0"/>
          <w:marBottom w:val="0"/>
          <w:divBdr>
            <w:top w:val="none" w:sz="0" w:space="0" w:color="auto"/>
            <w:left w:val="none" w:sz="0" w:space="0" w:color="auto"/>
            <w:bottom w:val="none" w:sz="0" w:space="0" w:color="auto"/>
            <w:right w:val="none" w:sz="0" w:space="0" w:color="auto"/>
          </w:divBdr>
          <w:divsChild>
            <w:div w:id="133841797">
              <w:marLeft w:val="0"/>
              <w:marRight w:val="0"/>
              <w:marTop w:val="0"/>
              <w:marBottom w:val="0"/>
              <w:divBdr>
                <w:top w:val="none" w:sz="0" w:space="0" w:color="auto"/>
                <w:left w:val="none" w:sz="0" w:space="0" w:color="auto"/>
                <w:bottom w:val="none" w:sz="0" w:space="0" w:color="auto"/>
                <w:right w:val="none" w:sz="0" w:space="0" w:color="auto"/>
              </w:divBdr>
              <w:divsChild>
                <w:div w:id="550574038">
                  <w:marLeft w:val="0"/>
                  <w:marRight w:val="0"/>
                  <w:marTop w:val="0"/>
                  <w:marBottom w:val="0"/>
                  <w:divBdr>
                    <w:top w:val="none" w:sz="0" w:space="0" w:color="auto"/>
                    <w:left w:val="none" w:sz="0" w:space="0" w:color="auto"/>
                    <w:bottom w:val="none" w:sz="0" w:space="0" w:color="auto"/>
                    <w:right w:val="none" w:sz="0" w:space="0" w:color="auto"/>
                  </w:divBdr>
                  <w:divsChild>
                    <w:div w:id="2107310391">
                      <w:marLeft w:val="0"/>
                      <w:marRight w:val="0"/>
                      <w:marTop w:val="0"/>
                      <w:marBottom w:val="0"/>
                      <w:divBdr>
                        <w:top w:val="none" w:sz="0" w:space="0" w:color="auto"/>
                        <w:left w:val="none" w:sz="0" w:space="0" w:color="auto"/>
                        <w:bottom w:val="none" w:sz="0" w:space="0" w:color="auto"/>
                        <w:right w:val="none" w:sz="0" w:space="0" w:color="auto"/>
                      </w:divBdr>
                      <w:divsChild>
                        <w:div w:id="376004021">
                          <w:marLeft w:val="0"/>
                          <w:marRight w:val="0"/>
                          <w:marTop w:val="0"/>
                          <w:marBottom w:val="0"/>
                          <w:divBdr>
                            <w:top w:val="none" w:sz="0" w:space="0" w:color="auto"/>
                            <w:left w:val="none" w:sz="0" w:space="0" w:color="auto"/>
                            <w:bottom w:val="none" w:sz="0" w:space="0" w:color="auto"/>
                            <w:right w:val="none" w:sz="0" w:space="0" w:color="auto"/>
                          </w:divBdr>
                          <w:divsChild>
                            <w:div w:id="3392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955219">
          <w:marLeft w:val="-225"/>
          <w:marRight w:val="-225"/>
          <w:marTop w:val="0"/>
          <w:marBottom w:val="0"/>
          <w:divBdr>
            <w:top w:val="none" w:sz="0" w:space="0" w:color="auto"/>
            <w:left w:val="none" w:sz="0" w:space="0" w:color="auto"/>
            <w:bottom w:val="none" w:sz="0" w:space="0" w:color="auto"/>
            <w:right w:val="none" w:sz="0" w:space="0" w:color="auto"/>
          </w:divBdr>
          <w:divsChild>
            <w:div w:id="2062752318">
              <w:marLeft w:val="0"/>
              <w:marRight w:val="0"/>
              <w:marTop w:val="0"/>
              <w:marBottom w:val="0"/>
              <w:divBdr>
                <w:top w:val="none" w:sz="0" w:space="0" w:color="auto"/>
                <w:left w:val="none" w:sz="0" w:space="0" w:color="auto"/>
                <w:bottom w:val="none" w:sz="0" w:space="0" w:color="auto"/>
                <w:right w:val="none" w:sz="0" w:space="0" w:color="auto"/>
              </w:divBdr>
              <w:divsChild>
                <w:div w:id="1491674564">
                  <w:marLeft w:val="0"/>
                  <w:marRight w:val="0"/>
                  <w:marTop w:val="0"/>
                  <w:marBottom w:val="0"/>
                  <w:divBdr>
                    <w:top w:val="none" w:sz="0" w:space="0" w:color="auto"/>
                    <w:left w:val="none" w:sz="0" w:space="0" w:color="auto"/>
                    <w:bottom w:val="none" w:sz="0" w:space="0" w:color="auto"/>
                    <w:right w:val="none" w:sz="0" w:space="0" w:color="auto"/>
                  </w:divBdr>
                  <w:divsChild>
                    <w:div w:id="1792549349">
                      <w:marLeft w:val="0"/>
                      <w:marRight w:val="0"/>
                      <w:marTop w:val="0"/>
                      <w:marBottom w:val="0"/>
                      <w:divBdr>
                        <w:top w:val="none" w:sz="0" w:space="0" w:color="auto"/>
                        <w:left w:val="none" w:sz="0" w:space="0" w:color="auto"/>
                        <w:bottom w:val="none" w:sz="0" w:space="0" w:color="auto"/>
                        <w:right w:val="none" w:sz="0" w:space="0" w:color="auto"/>
                      </w:divBdr>
                    </w:div>
                  </w:divsChild>
                </w:div>
                <w:div w:id="1266889167">
                  <w:marLeft w:val="0"/>
                  <w:marRight w:val="0"/>
                  <w:marTop w:val="0"/>
                  <w:marBottom w:val="0"/>
                  <w:divBdr>
                    <w:top w:val="none" w:sz="0" w:space="0" w:color="auto"/>
                    <w:left w:val="none" w:sz="0" w:space="0" w:color="auto"/>
                    <w:bottom w:val="none" w:sz="0" w:space="0" w:color="auto"/>
                    <w:right w:val="none" w:sz="0" w:space="0" w:color="auto"/>
                  </w:divBdr>
                  <w:divsChild>
                    <w:div w:id="19258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97462">
      <w:bodyDiv w:val="1"/>
      <w:marLeft w:val="0"/>
      <w:marRight w:val="0"/>
      <w:marTop w:val="0"/>
      <w:marBottom w:val="0"/>
      <w:divBdr>
        <w:top w:val="none" w:sz="0" w:space="0" w:color="auto"/>
        <w:left w:val="none" w:sz="0" w:space="0" w:color="auto"/>
        <w:bottom w:val="none" w:sz="0" w:space="0" w:color="auto"/>
        <w:right w:val="none" w:sz="0" w:space="0" w:color="auto"/>
      </w:divBdr>
    </w:div>
    <w:div w:id="601837628">
      <w:bodyDiv w:val="1"/>
      <w:marLeft w:val="0"/>
      <w:marRight w:val="0"/>
      <w:marTop w:val="0"/>
      <w:marBottom w:val="0"/>
      <w:divBdr>
        <w:top w:val="none" w:sz="0" w:space="0" w:color="auto"/>
        <w:left w:val="none" w:sz="0" w:space="0" w:color="auto"/>
        <w:bottom w:val="none" w:sz="0" w:space="0" w:color="auto"/>
        <w:right w:val="none" w:sz="0" w:space="0" w:color="auto"/>
      </w:divBdr>
      <w:divsChild>
        <w:div w:id="1136483898">
          <w:marLeft w:val="0"/>
          <w:marRight w:val="0"/>
          <w:marTop w:val="0"/>
          <w:marBottom w:val="0"/>
          <w:divBdr>
            <w:top w:val="none" w:sz="0" w:space="0" w:color="auto"/>
            <w:left w:val="none" w:sz="0" w:space="0" w:color="auto"/>
            <w:bottom w:val="none" w:sz="0" w:space="0" w:color="auto"/>
            <w:right w:val="none" w:sz="0" w:space="0" w:color="auto"/>
          </w:divBdr>
        </w:div>
        <w:div w:id="1860926080">
          <w:marLeft w:val="0"/>
          <w:marRight w:val="0"/>
          <w:marTop w:val="0"/>
          <w:marBottom w:val="0"/>
          <w:divBdr>
            <w:top w:val="none" w:sz="0" w:space="0" w:color="auto"/>
            <w:left w:val="none" w:sz="0" w:space="0" w:color="auto"/>
            <w:bottom w:val="none" w:sz="0" w:space="0" w:color="auto"/>
            <w:right w:val="none" w:sz="0" w:space="0" w:color="auto"/>
          </w:divBdr>
        </w:div>
        <w:div w:id="669648667">
          <w:marLeft w:val="0"/>
          <w:marRight w:val="0"/>
          <w:marTop w:val="0"/>
          <w:marBottom w:val="0"/>
          <w:divBdr>
            <w:top w:val="none" w:sz="0" w:space="0" w:color="auto"/>
            <w:left w:val="none" w:sz="0" w:space="0" w:color="auto"/>
            <w:bottom w:val="none" w:sz="0" w:space="0" w:color="auto"/>
            <w:right w:val="none" w:sz="0" w:space="0" w:color="auto"/>
          </w:divBdr>
        </w:div>
      </w:divsChild>
    </w:div>
    <w:div w:id="930548029">
      <w:bodyDiv w:val="1"/>
      <w:marLeft w:val="0"/>
      <w:marRight w:val="0"/>
      <w:marTop w:val="0"/>
      <w:marBottom w:val="0"/>
      <w:divBdr>
        <w:top w:val="none" w:sz="0" w:space="0" w:color="auto"/>
        <w:left w:val="none" w:sz="0" w:space="0" w:color="auto"/>
        <w:bottom w:val="none" w:sz="0" w:space="0" w:color="auto"/>
        <w:right w:val="none" w:sz="0" w:space="0" w:color="auto"/>
      </w:divBdr>
    </w:div>
    <w:div w:id="1145776167">
      <w:bodyDiv w:val="1"/>
      <w:marLeft w:val="0"/>
      <w:marRight w:val="0"/>
      <w:marTop w:val="0"/>
      <w:marBottom w:val="0"/>
      <w:divBdr>
        <w:top w:val="none" w:sz="0" w:space="0" w:color="auto"/>
        <w:left w:val="none" w:sz="0" w:space="0" w:color="auto"/>
        <w:bottom w:val="none" w:sz="0" w:space="0" w:color="auto"/>
        <w:right w:val="none" w:sz="0" w:space="0" w:color="auto"/>
      </w:divBdr>
    </w:div>
    <w:div w:id="1177698346">
      <w:bodyDiv w:val="1"/>
      <w:marLeft w:val="0"/>
      <w:marRight w:val="0"/>
      <w:marTop w:val="0"/>
      <w:marBottom w:val="0"/>
      <w:divBdr>
        <w:top w:val="none" w:sz="0" w:space="0" w:color="auto"/>
        <w:left w:val="none" w:sz="0" w:space="0" w:color="auto"/>
        <w:bottom w:val="none" w:sz="0" w:space="0" w:color="auto"/>
        <w:right w:val="none" w:sz="0" w:space="0" w:color="auto"/>
      </w:divBdr>
    </w:div>
    <w:div w:id="152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2AA6A-58F7-4B17-AD3C-116330C1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Pike</dc:creator>
  <cp:keywords/>
  <dc:description/>
  <cp:lastModifiedBy>Molly Bennett</cp:lastModifiedBy>
  <cp:revision>3</cp:revision>
  <dcterms:created xsi:type="dcterms:W3CDTF">2023-01-10T17:25:00Z</dcterms:created>
  <dcterms:modified xsi:type="dcterms:W3CDTF">2023-01-10T17:25:00Z</dcterms:modified>
</cp:coreProperties>
</file>