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4B416" w14:textId="7E031FA5" w:rsidR="003F2CE3" w:rsidRDefault="001B2157" w:rsidP="003F2CE3">
      <w:pPr>
        <w:rPr>
          <w:b/>
        </w:rPr>
      </w:pPr>
      <w:bookmarkStart w:id="0" w:name="_GoBack"/>
      <w:bookmarkEnd w:id="0"/>
      <w:r>
        <w:rPr>
          <w:b/>
        </w:rPr>
        <w:t>Independent Banker</w:t>
      </w:r>
    </w:p>
    <w:p w14:paraId="58E1EF22" w14:textId="25DC0EB6" w:rsidR="001B2157" w:rsidRDefault="001B2157" w:rsidP="003F2CE3">
      <w:pPr>
        <w:rPr>
          <w:b/>
        </w:rPr>
      </w:pPr>
      <w:r>
        <w:rPr>
          <w:b/>
        </w:rPr>
        <w:t>October 2018</w:t>
      </w:r>
    </w:p>
    <w:p w14:paraId="062D21BB" w14:textId="5A39BDB4" w:rsidR="001B2157" w:rsidRDefault="001B2157" w:rsidP="003F2CE3">
      <w:pPr>
        <w:rPr>
          <w:b/>
        </w:rPr>
      </w:pPr>
      <w:r>
        <w:rPr>
          <w:b/>
        </w:rPr>
        <w:t>From the Top</w:t>
      </w:r>
    </w:p>
    <w:p w14:paraId="675D78F8" w14:textId="48BF427C" w:rsidR="003F2CE3" w:rsidRDefault="003F2CE3" w:rsidP="003F2CE3"/>
    <w:p w14:paraId="68938153" w14:textId="4132A90F" w:rsidR="003E41B8" w:rsidRPr="001B2157" w:rsidRDefault="001B2157" w:rsidP="00712B6F">
      <w:r w:rsidRPr="001B2157">
        <w:t xml:space="preserve">[big </w:t>
      </w:r>
      <w:r>
        <w:t xml:space="preserve">pull </w:t>
      </w:r>
      <w:r w:rsidRPr="001B2157">
        <w:t xml:space="preserve">quote] </w:t>
      </w:r>
      <w:r>
        <w:t>“B</w:t>
      </w:r>
      <w:r w:rsidRPr="00D91A59">
        <w:t>ank-like credit unions should be subject to the same laws and regulations as banks</w:t>
      </w:r>
      <w:r w:rsidR="00330FF7">
        <w:t>. I</w:t>
      </w:r>
      <w:r>
        <w:t>t’s as simple as that.”</w:t>
      </w:r>
    </w:p>
    <w:p w14:paraId="6C66624A" w14:textId="2ED5A985" w:rsidR="00712B6F" w:rsidRDefault="00712B6F" w:rsidP="003F2CE3"/>
    <w:p w14:paraId="052B43B2" w14:textId="4F8C6CC1" w:rsidR="001B2157" w:rsidRDefault="001B2157" w:rsidP="003F2CE3">
      <w:r>
        <w:t xml:space="preserve">[byline] </w:t>
      </w:r>
      <w:r w:rsidR="003F2CE3">
        <w:t>Tim Zimmerman</w:t>
      </w:r>
    </w:p>
    <w:p w14:paraId="07F6BF27" w14:textId="59350CD1" w:rsidR="003F2CE3" w:rsidRDefault="003F2CE3" w:rsidP="003F2CE3">
      <w:r>
        <w:t>Chairman, ICBA</w:t>
      </w:r>
    </w:p>
    <w:p w14:paraId="200FF4B7" w14:textId="77777777" w:rsidR="003F2CE3" w:rsidRDefault="003F2CE3" w:rsidP="003F2CE3">
      <w:r>
        <w:t>Tim Zimmerman is CEO of Standard Bank, Monroeville, Pa.</w:t>
      </w:r>
    </w:p>
    <w:p w14:paraId="0CD255AD" w14:textId="26F7967A" w:rsidR="002B01AA" w:rsidRDefault="002B01AA"/>
    <w:p w14:paraId="0354936D" w14:textId="4987FA22" w:rsidR="001B2157" w:rsidRDefault="001B2157">
      <w:r>
        <w:t>[body]</w:t>
      </w:r>
    </w:p>
    <w:p w14:paraId="56F91E3D" w14:textId="31D23399" w:rsidR="005A66EC" w:rsidRDefault="00C12951">
      <w:r>
        <w:t>ICBA is working to address</w:t>
      </w:r>
      <w:r w:rsidR="00B00475">
        <w:t xml:space="preserve"> a wide array of </w:t>
      </w:r>
      <w:r w:rsidR="00D04EEB">
        <w:t>advocacy issues</w:t>
      </w:r>
      <w:r>
        <w:t xml:space="preserve"> </w:t>
      </w:r>
      <w:r w:rsidR="00DE720B">
        <w:t xml:space="preserve">as </w:t>
      </w:r>
      <w:r>
        <w:t xml:space="preserve">policymakers implement </w:t>
      </w:r>
      <w:r w:rsidR="002C245B">
        <w:t xml:space="preserve">the </w:t>
      </w:r>
      <w:r w:rsidR="00A70E0A">
        <w:t>regulatory relief</w:t>
      </w:r>
      <w:r w:rsidR="002C245B">
        <w:t xml:space="preserve"> we</w:t>
      </w:r>
      <w:r w:rsidR="00A70E0A">
        <w:t xml:space="preserve"> </w:t>
      </w:r>
      <w:r w:rsidR="002C245B">
        <w:t>achieved earlier this year</w:t>
      </w:r>
      <w:r w:rsidR="00A70E0A">
        <w:t xml:space="preserve">. </w:t>
      </w:r>
      <w:r w:rsidR="00DE720B">
        <w:t>While the variety of</w:t>
      </w:r>
      <w:r w:rsidR="00CF715B">
        <w:t xml:space="preserve"> </w:t>
      </w:r>
      <w:r w:rsidR="00B00475">
        <w:t xml:space="preserve">rules and regulations </w:t>
      </w:r>
      <w:r w:rsidR="00DE720B">
        <w:t xml:space="preserve">affecting our </w:t>
      </w:r>
      <w:r w:rsidR="009F5121">
        <w:t xml:space="preserve">industry is vast, ICBA’s position is simple: </w:t>
      </w:r>
      <w:r w:rsidR="00330FF7">
        <w:t xml:space="preserve">We </w:t>
      </w:r>
      <w:r w:rsidR="009F5121">
        <w:t xml:space="preserve">support </w:t>
      </w:r>
      <w:r w:rsidR="00CD2D1A">
        <w:t>a level playing field.</w:t>
      </w:r>
    </w:p>
    <w:p w14:paraId="33A7E391" w14:textId="4AD2109C" w:rsidR="00CD2D1A" w:rsidRDefault="00CD2D1A"/>
    <w:p w14:paraId="1754FA7E" w14:textId="681252C4" w:rsidR="00517CC0" w:rsidRDefault="005A03BB">
      <w:r>
        <w:t>Community banks are ready, willing and able to compete in a fair and open marketplace. But too often</w:t>
      </w:r>
      <w:r w:rsidR="001B2157">
        <w:t>,</w:t>
      </w:r>
      <w:r>
        <w:t xml:space="preserve"> </w:t>
      </w:r>
      <w:r w:rsidR="00DB1692">
        <w:t xml:space="preserve">the regulatory and tax burdens we face </w:t>
      </w:r>
      <w:r w:rsidR="00B00475">
        <w:t xml:space="preserve">don’t apply to government-sponsored </w:t>
      </w:r>
      <w:r w:rsidR="00BF5A98">
        <w:t>competitors</w:t>
      </w:r>
      <w:r w:rsidR="00B00475">
        <w:t xml:space="preserve">. Ironically, their </w:t>
      </w:r>
      <w:r w:rsidR="00F95C5E">
        <w:t xml:space="preserve">competitive advantage </w:t>
      </w:r>
      <w:r w:rsidR="00B00475">
        <w:t xml:space="preserve">is </w:t>
      </w:r>
      <w:r w:rsidR="00F95C5E">
        <w:t>funded in part by our tax dollars</w:t>
      </w:r>
      <w:r w:rsidR="00517CC0">
        <w:t xml:space="preserve">. </w:t>
      </w:r>
    </w:p>
    <w:p w14:paraId="24D06FC6" w14:textId="6B5CB8A0" w:rsidR="00517CC0" w:rsidRDefault="00517CC0"/>
    <w:p w14:paraId="42D70723" w14:textId="2B8B382C" w:rsidR="008C422D" w:rsidRDefault="004C6C5F">
      <w:r>
        <w:t xml:space="preserve">For instance, </w:t>
      </w:r>
      <w:r w:rsidR="001C402C">
        <w:t xml:space="preserve">community bankers are united in </w:t>
      </w:r>
      <w:r w:rsidR="001C402C" w:rsidRPr="00B535C5">
        <w:t>opposition to the credit union industry’s unwarranted federal tax subsidy</w:t>
      </w:r>
      <w:r w:rsidR="00CD7EAF">
        <w:t xml:space="preserve">. That’s not because we have an innate aversion to these financial institutions, but because they </w:t>
      </w:r>
      <w:r w:rsidR="000A2DC9">
        <w:t xml:space="preserve">have become </w:t>
      </w:r>
      <w:r w:rsidR="00CD7EAF" w:rsidRPr="00B535C5">
        <w:t>virtually indistinguishable from taxpaying banks</w:t>
      </w:r>
      <w:r w:rsidR="000A2DC9">
        <w:t xml:space="preserve"> while </w:t>
      </w:r>
      <w:r w:rsidR="00C975C2">
        <w:t xml:space="preserve">enjoying their </w:t>
      </w:r>
      <w:r w:rsidR="00B00475">
        <w:t xml:space="preserve">huge government </w:t>
      </w:r>
      <w:r w:rsidR="00C975C2">
        <w:t xml:space="preserve">subsidy and </w:t>
      </w:r>
      <w:r w:rsidR="000A2DC9">
        <w:t>Community Reinvestment Act</w:t>
      </w:r>
      <w:r w:rsidR="00C975C2">
        <w:t xml:space="preserve"> exemption.</w:t>
      </w:r>
    </w:p>
    <w:p w14:paraId="1674D70B" w14:textId="77777777" w:rsidR="008C422D" w:rsidRDefault="008C422D"/>
    <w:p w14:paraId="480A261B" w14:textId="2AA1D955" w:rsidR="006C326E" w:rsidRDefault="00C975C2">
      <w:r>
        <w:t>Meanwhile, the National Credit Union Administration has repeatedly shown itself to be a</w:t>
      </w:r>
      <w:r w:rsidR="00B00475">
        <w:t xml:space="preserve">n industry advocate rather than regulator. </w:t>
      </w:r>
      <w:r w:rsidR="00722848">
        <w:t>It</w:t>
      </w:r>
      <w:r>
        <w:t xml:space="preserve"> continuously </w:t>
      </w:r>
      <w:r w:rsidRPr="00135273">
        <w:t>push</w:t>
      </w:r>
      <w:r>
        <w:t>es</w:t>
      </w:r>
      <w:r w:rsidRPr="00135273">
        <w:t xml:space="preserve"> </w:t>
      </w:r>
      <w:r w:rsidR="00B064B9">
        <w:t xml:space="preserve">to advance the powers of the </w:t>
      </w:r>
      <w:r w:rsidRPr="00135273">
        <w:t>industry it is supposed to regulate.</w:t>
      </w:r>
      <w:r w:rsidR="008C422D">
        <w:t xml:space="preserve"> </w:t>
      </w:r>
      <w:r w:rsidR="00516AEE">
        <w:t>A</w:t>
      </w:r>
      <w:r w:rsidR="00683A8B">
        <w:t xml:space="preserve">s Senate Finance Committee </w:t>
      </w:r>
      <w:r w:rsidR="00330FF7">
        <w:t xml:space="preserve">chairman </w:t>
      </w:r>
      <w:r w:rsidR="00683A8B">
        <w:t>Orrin Hatch (R-Utah) has pointed out, large credit unions don’t even report financial information required of other tax-exempt institutions.</w:t>
      </w:r>
      <w:r w:rsidR="003956C4">
        <w:t xml:space="preserve"> </w:t>
      </w:r>
      <w:r w:rsidR="005C28B4">
        <w:t>B</w:t>
      </w:r>
      <w:r w:rsidR="00D91A59" w:rsidRPr="00D91A59">
        <w:t>ank-like credit unions should be subject to the same laws and regulations as banks</w:t>
      </w:r>
      <w:r w:rsidR="00330FF7">
        <w:t>. I</w:t>
      </w:r>
      <w:r w:rsidR="0067355C">
        <w:t>t’s as simple as that.</w:t>
      </w:r>
    </w:p>
    <w:p w14:paraId="00A08335" w14:textId="28D63284" w:rsidR="00B064B9" w:rsidRDefault="00B064B9"/>
    <w:p w14:paraId="04FBF070" w14:textId="18C49446" w:rsidR="00D07DE6" w:rsidRDefault="003956C4">
      <w:r>
        <w:t>The same goes for the Farm Credit System</w:t>
      </w:r>
      <w:r w:rsidR="001B2157">
        <w:t xml:space="preserve"> (FCS)</w:t>
      </w:r>
      <w:r w:rsidR="000513F8">
        <w:t xml:space="preserve">, whose lenders </w:t>
      </w:r>
      <w:r w:rsidR="000513F8" w:rsidRPr="004D7C6E">
        <w:rPr>
          <w:rFonts w:cs="Times New Roman"/>
          <w:szCs w:val="24"/>
        </w:rPr>
        <w:t>enjoy unfair competitive advantages over community banks</w:t>
      </w:r>
      <w:r w:rsidR="000513F8">
        <w:rPr>
          <w:rFonts w:cs="Times New Roman"/>
          <w:szCs w:val="24"/>
        </w:rPr>
        <w:t xml:space="preserve"> </w:t>
      </w:r>
      <w:r w:rsidR="00722848">
        <w:rPr>
          <w:rFonts w:cs="Times New Roman"/>
          <w:szCs w:val="24"/>
        </w:rPr>
        <w:t>that serve rural areas.</w:t>
      </w:r>
      <w:r w:rsidR="00562100">
        <w:t xml:space="preserve"> The FCS </w:t>
      </w:r>
      <w:r w:rsidR="00722848">
        <w:t xml:space="preserve">continues to use its tax-advantaged status to “cherry pick” </w:t>
      </w:r>
      <w:r w:rsidR="001B0AE9" w:rsidRPr="004D7C6E">
        <w:rPr>
          <w:rFonts w:cs="Times New Roman"/>
          <w:szCs w:val="24"/>
        </w:rPr>
        <w:t>the best loans</w:t>
      </w:r>
      <w:r w:rsidR="00722848">
        <w:rPr>
          <w:rFonts w:cs="Times New Roman"/>
          <w:szCs w:val="24"/>
        </w:rPr>
        <w:t xml:space="preserve">, leaving only the more challenging and riskier loans for community banks to make. That </w:t>
      </w:r>
      <w:r w:rsidR="00DC752D" w:rsidRPr="00DC752D">
        <w:rPr>
          <w:rFonts w:cs="Times New Roman"/>
          <w:szCs w:val="24"/>
        </w:rPr>
        <w:t>jeopardiz</w:t>
      </w:r>
      <w:r w:rsidR="00722848">
        <w:rPr>
          <w:rFonts w:cs="Times New Roman"/>
          <w:szCs w:val="24"/>
        </w:rPr>
        <w:t>e</w:t>
      </w:r>
      <w:r w:rsidR="00CD5D95">
        <w:rPr>
          <w:rFonts w:cs="Times New Roman"/>
          <w:szCs w:val="24"/>
        </w:rPr>
        <w:t>s</w:t>
      </w:r>
      <w:r w:rsidR="00722848">
        <w:rPr>
          <w:rFonts w:cs="Times New Roman"/>
          <w:szCs w:val="24"/>
        </w:rPr>
        <w:t xml:space="preserve"> t</w:t>
      </w:r>
      <w:r w:rsidR="00DC752D" w:rsidRPr="00DC752D">
        <w:rPr>
          <w:rFonts w:cs="Times New Roman"/>
          <w:szCs w:val="24"/>
        </w:rPr>
        <w:t>he viability of many community banks and</w:t>
      </w:r>
      <w:r w:rsidR="00722848">
        <w:rPr>
          <w:rFonts w:cs="Times New Roman"/>
          <w:szCs w:val="24"/>
        </w:rPr>
        <w:t xml:space="preserve">, in turn, </w:t>
      </w:r>
      <w:r w:rsidR="00DC752D" w:rsidRPr="00DC752D">
        <w:rPr>
          <w:rFonts w:cs="Times New Roman"/>
          <w:szCs w:val="24"/>
        </w:rPr>
        <w:t>the economic strength of the communities they serve.</w:t>
      </w:r>
      <w:r w:rsidR="00F55E45">
        <w:rPr>
          <w:rFonts w:cs="Times New Roman"/>
          <w:szCs w:val="24"/>
        </w:rPr>
        <w:t xml:space="preserve"> Amid its </w:t>
      </w:r>
      <w:r w:rsidR="00562100" w:rsidRPr="004D7C6E">
        <w:rPr>
          <w:rFonts w:eastAsia="Times New Roman" w:cs="Times New Roman"/>
          <w:szCs w:val="24"/>
        </w:rPr>
        <w:t>dramatic growth</w:t>
      </w:r>
      <w:r w:rsidR="00F55E45">
        <w:rPr>
          <w:rFonts w:eastAsia="Times New Roman" w:cs="Times New Roman"/>
          <w:szCs w:val="24"/>
        </w:rPr>
        <w:t xml:space="preserve">, the </w:t>
      </w:r>
      <w:r w:rsidR="00722848">
        <w:rPr>
          <w:rFonts w:eastAsia="Times New Roman" w:cs="Times New Roman"/>
          <w:szCs w:val="24"/>
        </w:rPr>
        <w:t>FCS</w:t>
      </w:r>
      <w:r w:rsidR="00F55E45">
        <w:rPr>
          <w:rFonts w:eastAsia="Times New Roman" w:cs="Times New Roman"/>
          <w:szCs w:val="24"/>
        </w:rPr>
        <w:t xml:space="preserve"> is </w:t>
      </w:r>
      <w:r w:rsidR="00562100" w:rsidRPr="004D7C6E">
        <w:rPr>
          <w:rFonts w:eastAsia="Times New Roman" w:cs="Times New Roman"/>
          <w:szCs w:val="24"/>
        </w:rPr>
        <w:t>sharply reducing service to family farmers</w:t>
      </w:r>
      <w:r w:rsidR="00562100">
        <w:rPr>
          <w:rFonts w:eastAsia="Times New Roman" w:cs="Times New Roman"/>
          <w:szCs w:val="24"/>
        </w:rPr>
        <w:t xml:space="preserve"> and </w:t>
      </w:r>
      <w:r w:rsidR="00722848">
        <w:rPr>
          <w:rFonts w:eastAsia="Times New Roman" w:cs="Times New Roman"/>
          <w:szCs w:val="24"/>
        </w:rPr>
        <w:t>expanding</w:t>
      </w:r>
      <w:r w:rsidR="00562100">
        <w:rPr>
          <w:rFonts w:eastAsia="Times New Roman" w:cs="Times New Roman"/>
          <w:szCs w:val="24"/>
        </w:rPr>
        <w:t xml:space="preserve"> </w:t>
      </w:r>
      <w:r w:rsidR="00562100" w:rsidRPr="004D7C6E">
        <w:rPr>
          <w:rFonts w:eastAsia="Times New Roman" w:cs="Times New Roman"/>
          <w:szCs w:val="24"/>
        </w:rPr>
        <w:t>non-farm lending</w:t>
      </w:r>
      <w:r w:rsidR="00562100">
        <w:rPr>
          <w:rFonts w:eastAsia="Times New Roman" w:cs="Times New Roman"/>
          <w:szCs w:val="24"/>
        </w:rPr>
        <w:t>.</w:t>
      </w:r>
      <w:r w:rsidR="005C7E9A">
        <w:rPr>
          <w:rFonts w:eastAsia="Times New Roman" w:cs="Times New Roman"/>
          <w:szCs w:val="24"/>
        </w:rPr>
        <w:t xml:space="preserve"> ICBA’s position: </w:t>
      </w:r>
      <w:r w:rsidR="00330FF7">
        <w:rPr>
          <w:rFonts w:eastAsia="Times New Roman" w:cs="Times New Roman"/>
          <w:szCs w:val="24"/>
        </w:rPr>
        <w:t xml:space="preserve">Reform </w:t>
      </w:r>
      <w:r w:rsidR="00C355DC">
        <w:rPr>
          <w:rFonts w:eastAsia="Times New Roman" w:cs="Times New Roman"/>
          <w:szCs w:val="24"/>
        </w:rPr>
        <w:t xml:space="preserve">the FCS to ensure it </w:t>
      </w:r>
      <w:r w:rsidR="00D07DE6">
        <w:rPr>
          <w:rFonts w:eastAsia="Times New Roman" w:cs="Times New Roman"/>
          <w:szCs w:val="24"/>
        </w:rPr>
        <w:t xml:space="preserve">adheres to its </w:t>
      </w:r>
      <w:r w:rsidR="00170AD1">
        <w:rPr>
          <w:rFonts w:eastAsia="Times New Roman" w:cs="Times New Roman"/>
          <w:szCs w:val="24"/>
        </w:rPr>
        <w:t>h</w:t>
      </w:r>
      <w:r w:rsidR="00D07DE6" w:rsidRPr="00D07DE6">
        <w:t xml:space="preserve">istorical mission of serving bona fide farmers and ranchers while preventing it from engaging in </w:t>
      </w:r>
      <w:r w:rsidR="00722848">
        <w:t xml:space="preserve">selective </w:t>
      </w:r>
      <w:r w:rsidR="00D07DE6" w:rsidRPr="00D07DE6">
        <w:t>below-market pricing and non-farm lending</w:t>
      </w:r>
      <w:r w:rsidR="00170AD1">
        <w:t>.</w:t>
      </w:r>
    </w:p>
    <w:p w14:paraId="5DFAC0C6" w14:textId="77777777" w:rsidR="00D2039F" w:rsidRDefault="00D2039F"/>
    <w:p w14:paraId="4B7112A5" w14:textId="48790790" w:rsidR="00976A35" w:rsidRDefault="009F177C" w:rsidP="006D0D9D">
      <w:r>
        <w:t xml:space="preserve">Finally, ICBA </w:t>
      </w:r>
      <w:r w:rsidR="007C2A87">
        <w:t xml:space="preserve">remains concerned </w:t>
      </w:r>
      <w:r w:rsidR="001530DB">
        <w:t>with the</w:t>
      </w:r>
      <w:r w:rsidR="0068503C">
        <w:t xml:space="preserve"> real and potential</w:t>
      </w:r>
      <w:r w:rsidR="001530DB">
        <w:t xml:space="preserve"> inequitie</w:t>
      </w:r>
      <w:r w:rsidR="005A3E28">
        <w:t xml:space="preserve">s of chartering </w:t>
      </w:r>
      <w:r w:rsidR="0068503C">
        <w:t xml:space="preserve">industrial loan corporations and </w:t>
      </w:r>
      <w:r w:rsidR="005A3E28">
        <w:t>fintech companies</w:t>
      </w:r>
      <w:r w:rsidR="00962109">
        <w:t>, respectively</w:t>
      </w:r>
      <w:r w:rsidR="0068503C">
        <w:t>.</w:t>
      </w:r>
      <w:r w:rsidR="00AC7467">
        <w:t xml:space="preserve"> </w:t>
      </w:r>
      <w:r w:rsidR="001A7192">
        <w:t>Because t</w:t>
      </w:r>
      <w:r w:rsidR="00B0201D">
        <w:t xml:space="preserve">he ILC loophole </w:t>
      </w:r>
      <w:r w:rsidR="00B0201D" w:rsidRPr="004B545C">
        <w:t>allows commercial interests to own banks while avoiding the legal restrictions and regulatory supervision that apply to other bank holding companies</w:t>
      </w:r>
      <w:r w:rsidR="001A7192">
        <w:t xml:space="preserve">, ICBA </w:t>
      </w:r>
      <w:r w:rsidR="00AC7467">
        <w:t xml:space="preserve">is </w:t>
      </w:r>
      <w:r w:rsidR="001A7192">
        <w:t>seek</w:t>
      </w:r>
      <w:r w:rsidR="00AC7467">
        <w:t>ing</w:t>
      </w:r>
      <w:r w:rsidR="001A7192">
        <w:t xml:space="preserve"> </w:t>
      </w:r>
      <w:r w:rsidR="00AC7467">
        <w:t xml:space="preserve">a moratorium </w:t>
      </w:r>
      <w:r w:rsidR="00722848">
        <w:t xml:space="preserve">on such </w:t>
      </w:r>
      <w:r w:rsidR="00722848">
        <w:lastRenderedPageBreak/>
        <w:t xml:space="preserve">charters </w:t>
      </w:r>
      <w:r w:rsidR="00AC7467">
        <w:t xml:space="preserve">from the FDIC and a permanent ban from Congress. Meanwhile, ICBA is working to ensure the pending </w:t>
      </w:r>
      <w:r w:rsidR="00AC7467" w:rsidRPr="00135273">
        <w:t>special-purpose national bank charter for fintech firms</w:t>
      </w:r>
      <w:r w:rsidR="00AC7467">
        <w:t xml:space="preserve"> </w:t>
      </w:r>
      <w:r w:rsidR="006D0D9D">
        <w:t xml:space="preserve">subjects these companies to the </w:t>
      </w:r>
      <w:r w:rsidR="00976A35">
        <w:t>same standards of safety, soundness and fairness as other federal</w:t>
      </w:r>
      <w:r w:rsidR="00962109">
        <w:t>ly</w:t>
      </w:r>
      <w:r w:rsidR="00976A35">
        <w:t xml:space="preserve"> chartered institutions.</w:t>
      </w:r>
    </w:p>
    <w:p w14:paraId="06F49D52" w14:textId="1A1683E0" w:rsidR="007538B6" w:rsidRDefault="007538B6"/>
    <w:p w14:paraId="5ACA693F" w14:textId="0D311DCF" w:rsidR="000E20F4" w:rsidRDefault="00170AD1">
      <w:r>
        <w:t>These collect</w:t>
      </w:r>
      <w:r w:rsidR="00722848">
        <w:t xml:space="preserve">ive </w:t>
      </w:r>
      <w:r>
        <w:t xml:space="preserve">inequities </w:t>
      </w:r>
      <w:r w:rsidR="00F57A92">
        <w:t xml:space="preserve">are </w:t>
      </w:r>
      <w:r w:rsidR="000E20F4">
        <w:t>enough to make you want to bang your head against the wall</w:t>
      </w:r>
      <w:r w:rsidR="00E44F1C">
        <w:t xml:space="preserve">, </w:t>
      </w:r>
      <w:r w:rsidR="00F54052">
        <w:t xml:space="preserve">but there are </w:t>
      </w:r>
      <w:r w:rsidR="003E41B8">
        <w:t xml:space="preserve">many ways </w:t>
      </w:r>
      <w:r w:rsidR="00F57A92">
        <w:t xml:space="preserve">to </w:t>
      </w:r>
      <w:r w:rsidR="00D54864">
        <w:t xml:space="preserve">rebalance </w:t>
      </w:r>
      <w:r w:rsidR="00B33B7A">
        <w:t xml:space="preserve">our </w:t>
      </w:r>
      <w:r w:rsidR="00D54864">
        <w:t xml:space="preserve">off-kilter </w:t>
      </w:r>
      <w:r w:rsidR="00B33B7A">
        <w:t>financial services marketplace</w:t>
      </w:r>
      <w:r w:rsidR="00F54052">
        <w:t xml:space="preserve">. </w:t>
      </w:r>
      <w:r w:rsidR="00BC17EB">
        <w:t xml:space="preserve">ICBA </w:t>
      </w:r>
      <w:r w:rsidR="00722848">
        <w:t>is</w:t>
      </w:r>
      <w:r w:rsidR="00F30E85">
        <w:t xml:space="preserve"> </w:t>
      </w:r>
      <w:r w:rsidR="00722848">
        <w:t>aggressive</w:t>
      </w:r>
      <w:r w:rsidR="00F30E85">
        <w:t xml:space="preserve"> and</w:t>
      </w:r>
      <w:r w:rsidR="00722848">
        <w:t xml:space="preserve"> </w:t>
      </w:r>
      <w:r w:rsidR="00BC17EB">
        <w:t>offer</w:t>
      </w:r>
      <w:r w:rsidR="00722848">
        <w:t>s</w:t>
      </w:r>
      <w:r w:rsidR="00CD5D95">
        <w:t xml:space="preserve"> </w:t>
      </w:r>
      <w:r w:rsidR="00F30E85">
        <w:t xml:space="preserve">numerous </w:t>
      </w:r>
      <w:r w:rsidR="00C75DD5">
        <w:t xml:space="preserve">resources to help </w:t>
      </w:r>
      <w:r w:rsidR="00722848">
        <w:t xml:space="preserve">you </w:t>
      </w:r>
      <w:r w:rsidR="002C09A3">
        <w:t xml:space="preserve">stand up and make a difference </w:t>
      </w:r>
      <w:r w:rsidR="009056F0">
        <w:t>on these and other issues.</w:t>
      </w:r>
      <w:r w:rsidR="00B47A5E">
        <w:t xml:space="preserve"> Read on to learn more.</w:t>
      </w:r>
    </w:p>
    <w:p w14:paraId="00B4AFCC" w14:textId="2EC8E241" w:rsidR="00712B6F" w:rsidRDefault="00712B6F"/>
    <w:p w14:paraId="2A2A97F4" w14:textId="77777777" w:rsidR="00712B6F" w:rsidRPr="006240BF" w:rsidRDefault="00712B6F" w:rsidP="00712B6F">
      <w:pPr>
        <w:rPr>
          <w:i/>
        </w:rPr>
      </w:pPr>
      <w:r w:rsidRPr="006240BF">
        <w:rPr>
          <w:i/>
        </w:rPr>
        <w:t xml:space="preserve">Connect with Tim </w:t>
      </w:r>
      <w:r w:rsidRPr="001B2157">
        <w:t>@</w:t>
      </w:r>
      <w:proofErr w:type="spellStart"/>
      <w:r w:rsidRPr="001B2157">
        <w:t>TimZimPgh</w:t>
      </w:r>
      <w:proofErr w:type="spellEnd"/>
    </w:p>
    <w:p w14:paraId="3F1438D1" w14:textId="1857A372" w:rsidR="00712B6F" w:rsidRDefault="001B2157" w:rsidP="00712B6F">
      <w:r>
        <w:t>[ends]</w:t>
      </w:r>
    </w:p>
    <w:p w14:paraId="4F3E70B0" w14:textId="77777777" w:rsidR="00712B6F" w:rsidRDefault="00712B6F" w:rsidP="00712B6F"/>
    <w:p w14:paraId="2B31AD7E" w14:textId="3354A4B5" w:rsidR="00712B6F" w:rsidRPr="001B2157" w:rsidRDefault="001B2157" w:rsidP="00712B6F">
      <w:r w:rsidRPr="001B2157">
        <w:t>[quick stat]</w:t>
      </w:r>
    </w:p>
    <w:p w14:paraId="53B44D64" w14:textId="0A0041BF" w:rsidR="00712B6F" w:rsidRPr="001B2157" w:rsidRDefault="00712B6F" w:rsidP="00712B6F">
      <w:pPr>
        <w:rPr>
          <w:b/>
        </w:rPr>
      </w:pPr>
      <w:r w:rsidRPr="009546A0">
        <w:rPr>
          <w:b/>
        </w:rPr>
        <w:t>Did you know?</w:t>
      </w:r>
    </w:p>
    <w:p w14:paraId="5D7A6082" w14:textId="2D65C2AC" w:rsidR="00712B6F" w:rsidRDefault="00934A67" w:rsidP="00712B6F">
      <w:r>
        <w:t xml:space="preserve">ICBA’s </w:t>
      </w:r>
      <w:r w:rsidR="009546A0" w:rsidRPr="00934A67">
        <w:t>policy objectives</w:t>
      </w:r>
      <w:r w:rsidR="009546A0">
        <w:t xml:space="preserve"> are approved annually by its P</w:t>
      </w:r>
      <w:r w:rsidRPr="00934A67">
        <w:t xml:space="preserve">olicy Development Committee and </w:t>
      </w:r>
      <w:r w:rsidR="009546A0" w:rsidRPr="00934A67">
        <w:t>board of directors</w:t>
      </w:r>
      <w:r w:rsidR="009546A0">
        <w:t>.</w:t>
      </w:r>
    </w:p>
    <w:p w14:paraId="6B9C937B" w14:textId="70D2C00B" w:rsidR="00712B6F" w:rsidRDefault="00712B6F"/>
    <w:p w14:paraId="601E4CDF" w14:textId="0577EFFD" w:rsidR="00712B6F" w:rsidRDefault="00712B6F"/>
    <w:p w14:paraId="653E82BE" w14:textId="77777777" w:rsidR="00712B6F" w:rsidRDefault="00712B6F"/>
    <w:sectPr w:rsidR="00712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147B"/>
    <w:multiLevelType w:val="hybridMultilevel"/>
    <w:tmpl w:val="AACA8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64B0D"/>
    <w:multiLevelType w:val="hybridMultilevel"/>
    <w:tmpl w:val="ECBA2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E4C9F"/>
    <w:multiLevelType w:val="hybridMultilevel"/>
    <w:tmpl w:val="968CE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E0C6C"/>
    <w:multiLevelType w:val="hybridMultilevel"/>
    <w:tmpl w:val="7A266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020B3"/>
    <w:multiLevelType w:val="hybridMultilevel"/>
    <w:tmpl w:val="4E1A9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12216"/>
    <w:multiLevelType w:val="hybridMultilevel"/>
    <w:tmpl w:val="C720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02C00"/>
    <w:multiLevelType w:val="hybridMultilevel"/>
    <w:tmpl w:val="F5380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52FC2"/>
    <w:multiLevelType w:val="hybridMultilevel"/>
    <w:tmpl w:val="68DE8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44D0C"/>
    <w:multiLevelType w:val="hybridMultilevel"/>
    <w:tmpl w:val="BFDC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22CA1"/>
    <w:multiLevelType w:val="hybridMultilevel"/>
    <w:tmpl w:val="A04622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9705A"/>
    <w:multiLevelType w:val="hybridMultilevel"/>
    <w:tmpl w:val="08BC8A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30B03"/>
    <w:multiLevelType w:val="hybridMultilevel"/>
    <w:tmpl w:val="56F683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7459D1"/>
    <w:multiLevelType w:val="hybridMultilevel"/>
    <w:tmpl w:val="FE5CA7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2027B"/>
    <w:multiLevelType w:val="hybridMultilevel"/>
    <w:tmpl w:val="BA0C1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A4D62"/>
    <w:multiLevelType w:val="hybridMultilevel"/>
    <w:tmpl w:val="CD442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6260E"/>
    <w:multiLevelType w:val="hybridMultilevel"/>
    <w:tmpl w:val="6C7C3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721AF"/>
    <w:multiLevelType w:val="hybridMultilevel"/>
    <w:tmpl w:val="E76CA1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15"/>
  </w:num>
  <w:num w:numId="7">
    <w:abstractNumId w:val="1"/>
  </w:num>
  <w:num w:numId="8">
    <w:abstractNumId w:val="12"/>
  </w:num>
  <w:num w:numId="9">
    <w:abstractNumId w:val="9"/>
  </w:num>
  <w:num w:numId="10">
    <w:abstractNumId w:val="11"/>
  </w:num>
  <w:num w:numId="11">
    <w:abstractNumId w:val="10"/>
  </w:num>
  <w:num w:numId="12">
    <w:abstractNumId w:val="2"/>
  </w:num>
  <w:num w:numId="13">
    <w:abstractNumId w:val="6"/>
  </w:num>
  <w:num w:numId="14">
    <w:abstractNumId w:val="14"/>
  </w:num>
  <w:num w:numId="15">
    <w:abstractNumId w:val="5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B6"/>
    <w:rsid w:val="00015EE8"/>
    <w:rsid w:val="000513F8"/>
    <w:rsid w:val="000A199C"/>
    <w:rsid w:val="000A2DC9"/>
    <w:rsid w:val="000E20F4"/>
    <w:rsid w:val="000E5790"/>
    <w:rsid w:val="00114DA4"/>
    <w:rsid w:val="001530DB"/>
    <w:rsid w:val="00170AD1"/>
    <w:rsid w:val="0018151D"/>
    <w:rsid w:val="001A7192"/>
    <w:rsid w:val="001B0AE9"/>
    <w:rsid w:val="001B2157"/>
    <w:rsid w:val="001C402C"/>
    <w:rsid w:val="002A4C62"/>
    <w:rsid w:val="002B01AA"/>
    <w:rsid w:val="002C09A3"/>
    <w:rsid w:val="002C245B"/>
    <w:rsid w:val="00330FF7"/>
    <w:rsid w:val="00354294"/>
    <w:rsid w:val="00355012"/>
    <w:rsid w:val="003956C4"/>
    <w:rsid w:val="003E41B8"/>
    <w:rsid w:val="003F2CE3"/>
    <w:rsid w:val="004058FD"/>
    <w:rsid w:val="00415B92"/>
    <w:rsid w:val="00420865"/>
    <w:rsid w:val="00427EE6"/>
    <w:rsid w:val="00482475"/>
    <w:rsid w:val="004C6C5F"/>
    <w:rsid w:val="004F19CD"/>
    <w:rsid w:val="00516AEE"/>
    <w:rsid w:val="00517CC0"/>
    <w:rsid w:val="00531264"/>
    <w:rsid w:val="00562100"/>
    <w:rsid w:val="00565816"/>
    <w:rsid w:val="00577942"/>
    <w:rsid w:val="005A03BB"/>
    <w:rsid w:val="005A3E28"/>
    <w:rsid w:val="005A66EC"/>
    <w:rsid w:val="005C2381"/>
    <w:rsid w:val="005C28B4"/>
    <w:rsid w:val="005C7E9A"/>
    <w:rsid w:val="005D114C"/>
    <w:rsid w:val="006240BF"/>
    <w:rsid w:val="00645867"/>
    <w:rsid w:val="0067355C"/>
    <w:rsid w:val="00683A8B"/>
    <w:rsid w:val="0068503C"/>
    <w:rsid w:val="006C326E"/>
    <w:rsid w:val="006D0D9D"/>
    <w:rsid w:val="00712B6F"/>
    <w:rsid w:val="00722848"/>
    <w:rsid w:val="007538B6"/>
    <w:rsid w:val="007C2A87"/>
    <w:rsid w:val="007C57C4"/>
    <w:rsid w:val="007F64B8"/>
    <w:rsid w:val="00804A7A"/>
    <w:rsid w:val="008C422D"/>
    <w:rsid w:val="009056F0"/>
    <w:rsid w:val="00934A67"/>
    <w:rsid w:val="009546A0"/>
    <w:rsid w:val="00962109"/>
    <w:rsid w:val="00976A35"/>
    <w:rsid w:val="009D2C1D"/>
    <w:rsid w:val="009F177C"/>
    <w:rsid w:val="009F5121"/>
    <w:rsid w:val="00A60AA1"/>
    <w:rsid w:val="00A70E0A"/>
    <w:rsid w:val="00A80E39"/>
    <w:rsid w:val="00AC7467"/>
    <w:rsid w:val="00AD636C"/>
    <w:rsid w:val="00B00475"/>
    <w:rsid w:val="00B0201D"/>
    <w:rsid w:val="00B064B9"/>
    <w:rsid w:val="00B260D5"/>
    <w:rsid w:val="00B33B7A"/>
    <w:rsid w:val="00B47A5E"/>
    <w:rsid w:val="00BC17EB"/>
    <w:rsid w:val="00BF5A98"/>
    <w:rsid w:val="00C12951"/>
    <w:rsid w:val="00C355DC"/>
    <w:rsid w:val="00C702C7"/>
    <w:rsid w:val="00C75DD5"/>
    <w:rsid w:val="00C975C2"/>
    <w:rsid w:val="00CD2D1A"/>
    <w:rsid w:val="00CD5D95"/>
    <w:rsid w:val="00CD7EAF"/>
    <w:rsid w:val="00CF715B"/>
    <w:rsid w:val="00D04EEB"/>
    <w:rsid w:val="00D07DE6"/>
    <w:rsid w:val="00D2039F"/>
    <w:rsid w:val="00D33587"/>
    <w:rsid w:val="00D54864"/>
    <w:rsid w:val="00D91A59"/>
    <w:rsid w:val="00D93E48"/>
    <w:rsid w:val="00DB1692"/>
    <w:rsid w:val="00DC752D"/>
    <w:rsid w:val="00DD3EF3"/>
    <w:rsid w:val="00DE720B"/>
    <w:rsid w:val="00E03AC3"/>
    <w:rsid w:val="00E44F1C"/>
    <w:rsid w:val="00E909ED"/>
    <w:rsid w:val="00EA0FDD"/>
    <w:rsid w:val="00EC18F4"/>
    <w:rsid w:val="00F30E85"/>
    <w:rsid w:val="00F54052"/>
    <w:rsid w:val="00F55E45"/>
    <w:rsid w:val="00F563B8"/>
    <w:rsid w:val="00F57A92"/>
    <w:rsid w:val="00F95C5E"/>
    <w:rsid w:val="00FA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5DA70"/>
  <w15:chartTrackingRefBased/>
  <w15:docId w15:val="{47489975-1113-4145-954A-B5631833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2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omasTemplate">
    <w:name w:val="Thomas Template"/>
    <w:basedOn w:val="NoSpacing"/>
    <w:qFormat/>
    <w:rsid w:val="00A80E39"/>
  </w:style>
  <w:style w:type="paragraph" w:styleId="NoSpacing">
    <w:name w:val="No Spacing"/>
    <w:uiPriority w:val="1"/>
    <w:qFormat/>
    <w:rsid w:val="00A80E39"/>
  </w:style>
  <w:style w:type="paragraph" w:styleId="ListParagraph">
    <w:name w:val="List Paragraph"/>
    <w:basedOn w:val="Normal"/>
    <w:link w:val="ListParagraphChar"/>
    <w:uiPriority w:val="34"/>
    <w:qFormat/>
    <w:rsid w:val="009D2C1D"/>
    <w:pPr>
      <w:ind w:left="720"/>
      <w:contextualSpacing/>
    </w:pPr>
    <w:rPr>
      <w:rFonts w:cs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D2C1D"/>
    <w:rPr>
      <w:rFonts w:cs="Times New Roman"/>
      <w:szCs w:val="24"/>
    </w:rPr>
  </w:style>
  <w:style w:type="paragraph" w:customStyle="1" w:styleId="Body">
    <w:name w:val="Body"/>
    <w:rsid w:val="005D114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157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157"/>
    <w:rPr>
      <w:rFonts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21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1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1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1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1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Warren</dc:creator>
  <cp:keywords/>
  <dc:description/>
  <cp:lastModifiedBy>Chris Lorence</cp:lastModifiedBy>
  <cp:revision>2</cp:revision>
  <cp:lastPrinted>2018-08-25T19:53:00Z</cp:lastPrinted>
  <dcterms:created xsi:type="dcterms:W3CDTF">2018-09-24T17:18:00Z</dcterms:created>
  <dcterms:modified xsi:type="dcterms:W3CDTF">2018-09-24T17:18:00Z</dcterms:modified>
</cp:coreProperties>
</file>