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ADDCA" w14:textId="619E7251" w:rsidR="007A0963" w:rsidRPr="007A0963" w:rsidRDefault="007A0963" w:rsidP="00B55B22">
      <w:pPr>
        <w:rPr>
          <w:b/>
          <w:sz w:val="24"/>
          <w:szCs w:val="24"/>
        </w:rPr>
      </w:pPr>
      <w:r w:rsidRPr="007A0963">
        <w:rPr>
          <w:b/>
          <w:sz w:val="24"/>
          <w:szCs w:val="24"/>
        </w:rPr>
        <w:t>Independent Banker</w:t>
      </w:r>
    </w:p>
    <w:p w14:paraId="16946D30" w14:textId="365D60D2" w:rsidR="007A0963" w:rsidRPr="007A0963" w:rsidRDefault="008F7118" w:rsidP="007A09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December </w:t>
      </w:r>
      <w:bookmarkStart w:id="0" w:name="_GoBack"/>
      <w:bookmarkEnd w:id="0"/>
      <w:r w:rsidR="007A0963" w:rsidRPr="007A0963">
        <w:rPr>
          <w:b/>
          <w:sz w:val="24"/>
          <w:szCs w:val="24"/>
        </w:rPr>
        <w:t>2018</w:t>
      </w:r>
    </w:p>
    <w:p w14:paraId="6998235F" w14:textId="536EF3A8" w:rsidR="007A0963" w:rsidRPr="007A0963" w:rsidRDefault="007A0963" w:rsidP="007A0963">
      <w:pPr>
        <w:rPr>
          <w:b/>
          <w:sz w:val="24"/>
          <w:szCs w:val="24"/>
        </w:rPr>
      </w:pPr>
      <w:r w:rsidRPr="007A0963">
        <w:rPr>
          <w:b/>
          <w:sz w:val="24"/>
          <w:szCs w:val="24"/>
        </w:rPr>
        <w:t>Portfolio</w:t>
      </w:r>
    </w:p>
    <w:p w14:paraId="62865762" w14:textId="56D34542" w:rsidR="007A0963" w:rsidRPr="007A0963" w:rsidRDefault="007A0963" w:rsidP="007A0963">
      <w:pPr>
        <w:rPr>
          <w:b/>
          <w:sz w:val="24"/>
          <w:szCs w:val="24"/>
        </w:rPr>
      </w:pPr>
    </w:p>
    <w:p w14:paraId="0214DC15" w14:textId="7C1B3CDC" w:rsidR="007A0963" w:rsidRPr="007A0963" w:rsidRDefault="007A0963" w:rsidP="007A0963">
      <w:pPr>
        <w:rPr>
          <w:b/>
          <w:sz w:val="24"/>
          <w:szCs w:val="24"/>
        </w:rPr>
      </w:pPr>
      <w:r w:rsidRPr="007A0963">
        <w:rPr>
          <w:b/>
          <w:sz w:val="24"/>
          <w:szCs w:val="24"/>
        </w:rPr>
        <w:t>[</w:t>
      </w:r>
      <w:r>
        <w:rPr>
          <w:b/>
          <w:sz w:val="24"/>
          <w:szCs w:val="24"/>
        </w:rPr>
        <w:t xml:space="preserve">column </w:t>
      </w:r>
      <w:r w:rsidRPr="007A0963">
        <w:rPr>
          <w:b/>
          <w:sz w:val="24"/>
          <w:szCs w:val="24"/>
        </w:rPr>
        <w:t>tag] Innovation Station</w:t>
      </w:r>
    </w:p>
    <w:p w14:paraId="54A99901" w14:textId="77777777" w:rsidR="00B55B22" w:rsidRDefault="00B55B22" w:rsidP="007A0963">
      <w:pPr>
        <w:rPr>
          <w:b/>
          <w:sz w:val="24"/>
          <w:szCs w:val="24"/>
        </w:rPr>
      </w:pPr>
    </w:p>
    <w:p w14:paraId="71BA7C49" w14:textId="0D175F24" w:rsidR="004D1F58" w:rsidRPr="007A0963" w:rsidRDefault="007A0963" w:rsidP="007A0963">
      <w:pPr>
        <w:rPr>
          <w:b/>
          <w:sz w:val="24"/>
          <w:szCs w:val="24"/>
        </w:rPr>
      </w:pPr>
      <w:r w:rsidRPr="007A0963">
        <w:rPr>
          <w:b/>
          <w:sz w:val="24"/>
          <w:szCs w:val="24"/>
        </w:rPr>
        <w:t xml:space="preserve">[hed] </w:t>
      </w:r>
      <w:r w:rsidR="004D1F58" w:rsidRPr="007A0963">
        <w:rPr>
          <w:b/>
          <w:sz w:val="24"/>
          <w:szCs w:val="24"/>
        </w:rPr>
        <w:t>Tales from the Fall Trade Show Season</w:t>
      </w:r>
    </w:p>
    <w:p w14:paraId="5239C3BF" w14:textId="77777777" w:rsidR="00B55B22" w:rsidRDefault="00B55B22">
      <w:pPr>
        <w:rPr>
          <w:sz w:val="24"/>
          <w:szCs w:val="24"/>
        </w:rPr>
      </w:pPr>
    </w:p>
    <w:p w14:paraId="1A3EE7D2" w14:textId="2F47028E" w:rsidR="004D1F58" w:rsidRDefault="007A0963">
      <w:pPr>
        <w:rPr>
          <w:sz w:val="24"/>
          <w:szCs w:val="24"/>
        </w:rPr>
      </w:pPr>
      <w:r>
        <w:rPr>
          <w:sz w:val="24"/>
          <w:szCs w:val="24"/>
        </w:rPr>
        <w:t xml:space="preserve">[byline] </w:t>
      </w:r>
      <w:r w:rsidR="00381200" w:rsidRPr="007A0963">
        <w:rPr>
          <w:sz w:val="24"/>
          <w:szCs w:val="24"/>
        </w:rPr>
        <w:t>By Kevin Tweddle</w:t>
      </w:r>
      <w:r>
        <w:rPr>
          <w:sz w:val="24"/>
          <w:szCs w:val="24"/>
        </w:rPr>
        <w:t>, ICBA</w:t>
      </w:r>
    </w:p>
    <w:p w14:paraId="2AA60FE2" w14:textId="77777777" w:rsidR="00B55B22" w:rsidRDefault="00B55B22">
      <w:pPr>
        <w:rPr>
          <w:sz w:val="24"/>
          <w:szCs w:val="24"/>
        </w:rPr>
      </w:pPr>
    </w:p>
    <w:p w14:paraId="182B5EA5" w14:textId="3FBC20E7" w:rsidR="00B55B22" w:rsidRDefault="007A0963" w:rsidP="00B55B22">
      <w:pPr>
        <w:rPr>
          <w:sz w:val="24"/>
          <w:szCs w:val="24"/>
        </w:rPr>
      </w:pPr>
      <w:r>
        <w:rPr>
          <w:sz w:val="24"/>
          <w:szCs w:val="24"/>
        </w:rPr>
        <w:t>[body]</w:t>
      </w:r>
    </w:p>
    <w:p w14:paraId="66A71479" w14:textId="7DCC0D69" w:rsidR="00B55B22" w:rsidRPr="00B55B22" w:rsidRDefault="00B55B22" w:rsidP="00B55B22">
      <w:pPr>
        <w:spacing w:line="259" w:lineRule="auto"/>
        <w:rPr>
          <w:sz w:val="24"/>
          <w:szCs w:val="24"/>
        </w:rPr>
      </w:pPr>
      <w:r w:rsidRPr="00B55B22">
        <w:rPr>
          <w:sz w:val="24"/>
          <w:szCs w:val="24"/>
        </w:rPr>
        <w:t>This year, ICBA had much to get excited about,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including October’s launch of ThinkTech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Accelerator,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which gives community banks direct access to fintechs that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are creating innovative solutions for their specific needs.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This exciting investment in our future is a triple win for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community banks, fintech providers and, most importantly,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consumers. Learn more at icba.org/fintech</w:t>
      </w:r>
    </w:p>
    <w:p w14:paraId="4D2D6FB9" w14:textId="3568051D" w:rsidR="00B55B22" w:rsidRPr="00B55B22" w:rsidRDefault="00B55B22" w:rsidP="00B55B22">
      <w:pPr>
        <w:spacing w:line="259" w:lineRule="auto"/>
        <w:ind w:firstLine="720"/>
        <w:rPr>
          <w:sz w:val="24"/>
          <w:szCs w:val="24"/>
        </w:rPr>
      </w:pPr>
      <w:r w:rsidRPr="00B55B22">
        <w:rPr>
          <w:sz w:val="24"/>
          <w:szCs w:val="24"/>
        </w:rPr>
        <w:t>Next month, I’ll look ahead to community banks’ bright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future. But first, I’ll reflect on my prognostications from earlier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this year to see how I fared as we prepare to ring in 2019.</w:t>
      </w:r>
    </w:p>
    <w:p w14:paraId="72FB0D5B" w14:textId="77777777" w:rsidR="00B55B22" w:rsidRDefault="00B55B22" w:rsidP="00B55B22">
      <w:pPr>
        <w:spacing w:line="259" w:lineRule="auto"/>
        <w:rPr>
          <w:sz w:val="24"/>
          <w:szCs w:val="24"/>
        </w:rPr>
      </w:pPr>
    </w:p>
    <w:p w14:paraId="731AAD95" w14:textId="46A87DDC" w:rsidR="00B55B22" w:rsidRPr="00B55B22" w:rsidRDefault="00B55B22" w:rsidP="00B55B22">
      <w:pPr>
        <w:spacing w:line="259" w:lineRule="auto"/>
        <w:rPr>
          <w:b/>
          <w:sz w:val="24"/>
          <w:szCs w:val="24"/>
        </w:rPr>
      </w:pPr>
      <w:r w:rsidRPr="00B55B22">
        <w:rPr>
          <w:b/>
          <w:sz w:val="24"/>
          <w:szCs w:val="24"/>
        </w:rPr>
        <w:t>Prediction: Partnerships between fintechs and</w:t>
      </w:r>
      <w:r>
        <w:rPr>
          <w:b/>
          <w:sz w:val="24"/>
          <w:szCs w:val="24"/>
        </w:rPr>
        <w:t xml:space="preserve"> </w:t>
      </w:r>
      <w:r w:rsidRPr="00B55B22">
        <w:rPr>
          <w:b/>
          <w:sz w:val="24"/>
          <w:szCs w:val="24"/>
        </w:rPr>
        <w:t>banks will accelerate significantly.</w:t>
      </w:r>
    </w:p>
    <w:p w14:paraId="1A2AB9F1" w14:textId="00984626" w:rsidR="00B55B22" w:rsidRPr="00B55B22" w:rsidRDefault="00B55B22" w:rsidP="00B55B22">
      <w:pPr>
        <w:spacing w:line="259" w:lineRule="auto"/>
        <w:rPr>
          <w:sz w:val="24"/>
          <w:szCs w:val="24"/>
        </w:rPr>
      </w:pPr>
      <w:r w:rsidRPr="00B55B22">
        <w:rPr>
          <w:b/>
          <w:sz w:val="24"/>
          <w:szCs w:val="24"/>
        </w:rPr>
        <w:t>Reality:</w:t>
      </w:r>
      <w:r w:rsidRPr="00B55B22">
        <w:rPr>
          <w:sz w:val="24"/>
          <w:szCs w:val="24"/>
        </w:rPr>
        <w:t xml:space="preserve"> This one is just starting to hit its stride and will get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a significant boost with the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ThinkTech Accelerator. Expect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to see more partnerships as this trend grows.</w:t>
      </w:r>
    </w:p>
    <w:p w14:paraId="37C0E9B6" w14:textId="77777777" w:rsidR="00B55B22" w:rsidRDefault="00B55B22" w:rsidP="00B55B22">
      <w:pPr>
        <w:spacing w:line="259" w:lineRule="auto"/>
        <w:rPr>
          <w:sz w:val="24"/>
          <w:szCs w:val="24"/>
        </w:rPr>
      </w:pPr>
    </w:p>
    <w:p w14:paraId="57CD8DC4" w14:textId="67ECAD95" w:rsidR="00B55B22" w:rsidRPr="00B55B22" w:rsidRDefault="00B55B22" w:rsidP="00B55B22">
      <w:pPr>
        <w:spacing w:line="259" w:lineRule="auto"/>
        <w:rPr>
          <w:b/>
          <w:sz w:val="24"/>
          <w:szCs w:val="24"/>
        </w:rPr>
      </w:pPr>
      <w:r w:rsidRPr="00B55B22">
        <w:rPr>
          <w:b/>
          <w:sz w:val="24"/>
          <w:szCs w:val="24"/>
        </w:rPr>
        <w:t>Prediction: We’ll finally see an actual blockchain use</w:t>
      </w:r>
      <w:r>
        <w:rPr>
          <w:b/>
          <w:sz w:val="24"/>
          <w:szCs w:val="24"/>
        </w:rPr>
        <w:t xml:space="preserve"> </w:t>
      </w:r>
      <w:r w:rsidRPr="00B55B22">
        <w:rPr>
          <w:b/>
          <w:sz w:val="24"/>
          <w:szCs w:val="24"/>
        </w:rPr>
        <w:t>case in production.</w:t>
      </w:r>
    </w:p>
    <w:p w14:paraId="2814C6C5" w14:textId="5ECDF3BB" w:rsidR="00B55B22" w:rsidRPr="00B55B22" w:rsidRDefault="00B55B22" w:rsidP="00B55B22">
      <w:pPr>
        <w:spacing w:line="259" w:lineRule="auto"/>
        <w:rPr>
          <w:sz w:val="24"/>
          <w:szCs w:val="24"/>
        </w:rPr>
      </w:pPr>
      <w:r w:rsidRPr="00B55B22">
        <w:rPr>
          <w:b/>
          <w:sz w:val="24"/>
          <w:szCs w:val="24"/>
        </w:rPr>
        <w:t>Reality:</w:t>
      </w:r>
      <w:r w:rsidRPr="00B55B22">
        <w:rPr>
          <w:sz w:val="24"/>
          <w:szCs w:val="24"/>
        </w:rPr>
        <w:t xml:space="preserve"> I was a bit off on this one. While there remains lots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of talk about blockchain, there aren’t any meaningful use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cases in production yet. We will have to wait for 2019.</w:t>
      </w:r>
    </w:p>
    <w:p w14:paraId="554933CE" w14:textId="77777777" w:rsidR="00B55B22" w:rsidRDefault="00B55B22" w:rsidP="00B55B22">
      <w:pPr>
        <w:spacing w:line="259" w:lineRule="auto"/>
        <w:rPr>
          <w:sz w:val="24"/>
          <w:szCs w:val="24"/>
        </w:rPr>
      </w:pPr>
    </w:p>
    <w:p w14:paraId="401A2B03" w14:textId="1E0C3490" w:rsidR="00B55B22" w:rsidRPr="00B55B22" w:rsidRDefault="00B55B22" w:rsidP="00B55B22">
      <w:pPr>
        <w:spacing w:line="259" w:lineRule="auto"/>
        <w:rPr>
          <w:b/>
          <w:sz w:val="24"/>
          <w:szCs w:val="24"/>
        </w:rPr>
      </w:pPr>
      <w:r w:rsidRPr="00B55B22">
        <w:rPr>
          <w:b/>
          <w:sz w:val="24"/>
          <w:szCs w:val="24"/>
        </w:rPr>
        <w:t>Prediction: The cryptocurrency bubble will break.</w:t>
      </w:r>
    </w:p>
    <w:p w14:paraId="361C9082" w14:textId="2C0FCAD5" w:rsidR="00B55B22" w:rsidRPr="00B55B22" w:rsidRDefault="00B55B22" w:rsidP="00B55B22">
      <w:pPr>
        <w:spacing w:line="259" w:lineRule="auto"/>
        <w:rPr>
          <w:sz w:val="24"/>
          <w:szCs w:val="24"/>
        </w:rPr>
      </w:pPr>
      <w:r w:rsidRPr="00B55B22">
        <w:rPr>
          <w:b/>
          <w:sz w:val="24"/>
          <w:szCs w:val="24"/>
        </w:rPr>
        <w:t>Reality:</w:t>
      </w:r>
      <w:r w:rsidRPr="00B55B22">
        <w:rPr>
          <w:sz w:val="24"/>
          <w:szCs w:val="24"/>
        </w:rPr>
        <w:t xml:space="preserve"> I think I can check this one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off. Bitcoin, or BTC, is down more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than 50 percent since the beginning of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2018, as of this writing. The hype has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certainly waned, at least for now.</w:t>
      </w:r>
    </w:p>
    <w:p w14:paraId="149D3259" w14:textId="77777777" w:rsidR="00B55B22" w:rsidRDefault="00B55B22" w:rsidP="00B55B22">
      <w:pPr>
        <w:spacing w:line="259" w:lineRule="auto"/>
        <w:rPr>
          <w:sz w:val="24"/>
          <w:szCs w:val="24"/>
        </w:rPr>
      </w:pPr>
    </w:p>
    <w:p w14:paraId="427D2DA1" w14:textId="5E80C486" w:rsidR="00B55B22" w:rsidRPr="00B55B22" w:rsidRDefault="00B55B22" w:rsidP="00B55B22">
      <w:pPr>
        <w:spacing w:line="259" w:lineRule="auto"/>
        <w:rPr>
          <w:b/>
          <w:sz w:val="24"/>
          <w:szCs w:val="24"/>
        </w:rPr>
      </w:pPr>
      <w:r w:rsidRPr="00B55B22">
        <w:rPr>
          <w:b/>
          <w:sz w:val="24"/>
          <w:szCs w:val="24"/>
        </w:rPr>
        <w:t>Prediction: The transformation</w:t>
      </w:r>
      <w:r>
        <w:rPr>
          <w:b/>
          <w:sz w:val="24"/>
          <w:szCs w:val="24"/>
        </w:rPr>
        <w:t xml:space="preserve"> </w:t>
      </w:r>
      <w:r w:rsidRPr="00B55B22">
        <w:rPr>
          <w:b/>
          <w:sz w:val="24"/>
          <w:szCs w:val="24"/>
        </w:rPr>
        <w:t>of the bank branch will continue.</w:t>
      </w:r>
    </w:p>
    <w:p w14:paraId="174244EC" w14:textId="31A63BDC" w:rsidR="00B55B22" w:rsidRPr="00B55B22" w:rsidRDefault="00B55B22" w:rsidP="00B55B22">
      <w:pPr>
        <w:spacing w:line="259" w:lineRule="auto"/>
        <w:rPr>
          <w:sz w:val="24"/>
          <w:szCs w:val="24"/>
        </w:rPr>
      </w:pPr>
      <w:r w:rsidRPr="00B55B22">
        <w:rPr>
          <w:b/>
          <w:sz w:val="24"/>
          <w:szCs w:val="24"/>
        </w:rPr>
        <w:t>Reality:</w:t>
      </w:r>
      <w:r w:rsidRPr="00B55B22">
        <w:rPr>
          <w:sz w:val="24"/>
          <w:szCs w:val="24"/>
        </w:rPr>
        <w:t xml:space="preserve"> This trend is continuing but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starting to moderate. Net branches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declined 1.3 percent, with a smaller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number of banks responsible for most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of that. New branches are smaller and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have a high-tech look and fewer, more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well-rounded staff.</w:t>
      </w:r>
    </w:p>
    <w:p w14:paraId="7E3974ED" w14:textId="77777777" w:rsidR="00B55B22" w:rsidRDefault="00B55B22" w:rsidP="00B55B22">
      <w:pPr>
        <w:spacing w:line="259" w:lineRule="auto"/>
        <w:rPr>
          <w:sz w:val="24"/>
          <w:szCs w:val="24"/>
        </w:rPr>
      </w:pPr>
    </w:p>
    <w:p w14:paraId="645AC475" w14:textId="5153282F" w:rsidR="00B55B22" w:rsidRPr="00B55B22" w:rsidRDefault="00B55B22" w:rsidP="00B55B22">
      <w:pPr>
        <w:spacing w:line="259" w:lineRule="auto"/>
        <w:rPr>
          <w:b/>
          <w:sz w:val="24"/>
          <w:szCs w:val="24"/>
        </w:rPr>
      </w:pPr>
      <w:r w:rsidRPr="00B55B22">
        <w:rPr>
          <w:b/>
          <w:sz w:val="24"/>
          <w:szCs w:val="24"/>
        </w:rPr>
        <w:t>Prediction: Talent wars will spike.</w:t>
      </w:r>
    </w:p>
    <w:p w14:paraId="591EF5EC" w14:textId="3D22A4DD" w:rsidR="00B55B22" w:rsidRPr="00B55B22" w:rsidRDefault="00B55B22" w:rsidP="00B55B22">
      <w:pPr>
        <w:spacing w:line="259" w:lineRule="auto"/>
        <w:rPr>
          <w:sz w:val="24"/>
          <w:szCs w:val="24"/>
        </w:rPr>
      </w:pPr>
      <w:r w:rsidRPr="00B55B22">
        <w:rPr>
          <w:b/>
          <w:sz w:val="24"/>
          <w:szCs w:val="24"/>
        </w:rPr>
        <w:t>Reality:</w:t>
      </w:r>
      <w:r w:rsidRPr="00B55B22">
        <w:rPr>
          <w:sz w:val="24"/>
          <w:szCs w:val="24"/>
        </w:rPr>
        <w:t xml:space="preserve"> This trend is evident today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and will continue for years to come. As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technologies like AI, machine learning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and data analytics are refined,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and use cases are developed and gain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traction,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there will be a greater need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for people who can make this happen.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Community banks will need to be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more competitive in getting the right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folks on board to help with these areas.</w:t>
      </w:r>
    </w:p>
    <w:p w14:paraId="3EEC6180" w14:textId="77777777" w:rsidR="00B55B22" w:rsidRPr="00B55B22" w:rsidRDefault="00B55B22" w:rsidP="00B55B22">
      <w:pPr>
        <w:spacing w:line="259" w:lineRule="auto"/>
        <w:rPr>
          <w:b/>
          <w:sz w:val="24"/>
          <w:szCs w:val="24"/>
        </w:rPr>
      </w:pPr>
    </w:p>
    <w:p w14:paraId="4575B4C0" w14:textId="026F5D48" w:rsidR="00B55B22" w:rsidRPr="00B55B22" w:rsidRDefault="00B55B22" w:rsidP="00B55B22">
      <w:pPr>
        <w:spacing w:line="259" w:lineRule="auto"/>
        <w:rPr>
          <w:b/>
          <w:sz w:val="24"/>
          <w:szCs w:val="24"/>
        </w:rPr>
      </w:pPr>
      <w:r w:rsidRPr="00B55B22">
        <w:rPr>
          <w:b/>
          <w:sz w:val="24"/>
          <w:szCs w:val="24"/>
        </w:rPr>
        <w:t>Prediction: Open-source banking</w:t>
      </w:r>
      <w:r>
        <w:rPr>
          <w:b/>
          <w:sz w:val="24"/>
          <w:szCs w:val="24"/>
        </w:rPr>
        <w:t xml:space="preserve"> </w:t>
      </w:r>
      <w:r w:rsidRPr="00B55B22">
        <w:rPr>
          <w:b/>
          <w:sz w:val="24"/>
          <w:szCs w:val="24"/>
        </w:rPr>
        <w:t>will threaten “the establishment.”</w:t>
      </w:r>
    </w:p>
    <w:p w14:paraId="1D8F0A15" w14:textId="37AC0FCA" w:rsidR="00B55B22" w:rsidRPr="00B55B22" w:rsidRDefault="00B55B22" w:rsidP="00B55B22">
      <w:pPr>
        <w:spacing w:line="259" w:lineRule="auto"/>
        <w:rPr>
          <w:sz w:val="24"/>
          <w:szCs w:val="24"/>
        </w:rPr>
      </w:pPr>
      <w:r w:rsidRPr="00B55B22">
        <w:rPr>
          <w:b/>
          <w:sz w:val="24"/>
          <w:szCs w:val="24"/>
        </w:rPr>
        <w:t>Reality:</w:t>
      </w:r>
      <w:r w:rsidRPr="00B55B22">
        <w:rPr>
          <w:sz w:val="24"/>
          <w:szCs w:val="24"/>
        </w:rPr>
        <w:t xml:space="preserve"> No major threats in 2018,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but the battle lines are being drawn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as challenger banks make their way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across the pond from Europe and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the largest banks roll out digital-only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brands and offerings. Fintech accelerators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are all the rage as investors and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other stakeholders look to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quicken the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pace of growth of their investments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and refine their solution offerings.</w:t>
      </w:r>
    </w:p>
    <w:p w14:paraId="4ECF2304" w14:textId="77777777" w:rsidR="00B55B22" w:rsidRDefault="00B55B22" w:rsidP="00B55B22">
      <w:pPr>
        <w:spacing w:line="259" w:lineRule="auto"/>
        <w:rPr>
          <w:sz w:val="24"/>
          <w:szCs w:val="24"/>
        </w:rPr>
      </w:pPr>
    </w:p>
    <w:p w14:paraId="309764E6" w14:textId="584B804C" w:rsidR="000F5C80" w:rsidRDefault="00B55B22" w:rsidP="00B55B22">
      <w:pPr>
        <w:spacing w:line="259" w:lineRule="auto"/>
        <w:rPr>
          <w:sz w:val="24"/>
          <w:szCs w:val="24"/>
        </w:rPr>
      </w:pPr>
      <w:r w:rsidRPr="00B55B22">
        <w:rPr>
          <w:sz w:val="24"/>
          <w:szCs w:val="24"/>
        </w:rPr>
        <w:t>My crystal ball worked pretty well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in 2018. There doesn’t appear to be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any slowdown on the innovation and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fintech front. Community banks of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all sizes are continuing to embrace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innovation and putting their stamp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on high-tech, high-touch relationship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banking that will guide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them to success</w:t>
      </w:r>
      <w:r>
        <w:rPr>
          <w:sz w:val="24"/>
          <w:szCs w:val="24"/>
        </w:rPr>
        <w:t xml:space="preserve"> </w:t>
      </w:r>
      <w:r w:rsidRPr="00B55B22">
        <w:rPr>
          <w:sz w:val="24"/>
          <w:szCs w:val="24"/>
        </w:rPr>
        <w:t>in the future.</w:t>
      </w:r>
      <w:r w:rsidR="007A0963">
        <w:rPr>
          <w:sz w:val="24"/>
          <w:szCs w:val="24"/>
        </w:rPr>
        <w:br/>
        <w:t>[ends]</w:t>
      </w:r>
    </w:p>
    <w:p w14:paraId="342A21A4" w14:textId="77777777" w:rsidR="007A0963" w:rsidRPr="007A0963" w:rsidRDefault="007A0963">
      <w:pPr>
        <w:rPr>
          <w:sz w:val="24"/>
          <w:szCs w:val="24"/>
        </w:rPr>
      </w:pPr>
    </w:p>
    <w:p w14:paraId="3B06950F" w14:textId="77777777" w:rsidR="000F5C80" w:rsidRPr="007A0963" w:rsidRDefault="0039634D">
      <w:pPr>
        <w:rPr>
          <w:i/>
          <w:sz w:val="24"/>
          <w:szCs w:val="24"/>
        </w:rPr>
      </w:pPr>
      <w:r w:rsidRPr="007A0963">
        <w:rPr>
          <w:i/>
          <w:sz w:val="24"/>
          <w:szCs w:val="24"/>
        </w:rPr>
        <w:t xml:space="preserve">Kevin Tweddle is ICBA’s </w:t>
      </w:r>
      <w:r w:rsidR="0085530D" w:rsidRPr="007A0963">
        <w:rPr>
          <w:i/>
          <w:sz w:val="24"/>
          <w:szCs w:val="24"/>
        </w:rPr>
        <w:t>g</w:t>
      </w:r>
      <w:r w:rsidRPr="007A0963">
        <w:rPr>
          <w:i/>
          <w:sz w:val="24"/>
          <w:szCs w:val="24"/>
        </w:rPr>
        <w:t xml:space="preserve">roup </w:t>
      </w:r>
      <w:r w:rsidR="0085530D" w:rsidRPr="007A0963">
        <w:rPr>
          <w:bCs/>
          <w:i/>
          <w:sz w:val="24"/>
          <w:szCs w:val="24"/>
        </w:rPr>
        <w:t>e</w:t>
      </w:r>
      <w:r w:rsidRPr="007A0963">
        <w:rPr>
          <w:i/>
          <w:sz w:val="24"/>
          <w:szCs w:val="24"/>
        </w:rPr>
        <w:t xml:space="preserve">xecutive </w:t>
      </w:r>
      <w:r w:rsidR="0085530D" w:rsidRPr="007A0963">
        <w:rPr>
          <w:bCs/>
          <w:i/>
          <w:sz w:val="24"/>
          <w:szCs w:val="24"/>
        </w:rPr>
        <w:t>v</w:t>
      </w:r>
      <w:r w:rsidRPr="007A0963">
        <w:rPr>
          <w:i/>
          <w:sz w:val="24"/>
          <w:szCs w:val="24"/>
        </w:rPr>
        <w:t xml:space="preserve">ice </w:t>
      </w:r>
      <w:r w:rsidR="0085530D" w:rsidRPr="007A0963">
        <w:rPr>
          <w:bCs/>
          <w:i/>
          <w:sz w:val="24"/>
          <w:szCs w:val="24"/>
        </w:rPr>
        <w:t>p</w:t>
      </w:r>
      <w:r w:rsidRPr="007A0963">
        <w:rPr>
          <w:i/>
          <w:sz w:val="24"/>
          <w:szCs w:val="24"/>
        </w:rPr>
        <w:t xml:space="preserve">resident, </w:t>
      </w:r>
      <w:r w:rsidR="0085530D" w:rsidRPr="007A0963">
        <w:rPr>
          <w:bCs/>
          <w:i/>
          <w:sz w:val="24"/>
          <w:szCs w:val="24"/>
        </w:rPr>
        <w:t>i</w:t>
      </w:r>
      <w:r w:rsidRPr="007A0963">
        <w:rPr>
          <w:i/>
          <w:sz w:val="24"/>
          <w:szCs w:val="24"/>
        </w:rPr>
        <w:t xml:space="preserve">nnovation </w:t>
      </w:r>
      <w:r w:rsidR="0085530D" w:rsidRPr="007A0963">
        <w:rPr>
          <w:bCs/>
          <w:i/>
          <w:sz w:val="24"/>
          <w:szCs w:val="24"/>
        </w:rPr>
        <w:t>and</w:t>
      </w:r>
      <w:r w:rsidRPr="007A0963">
        <w:rPr>
          <w:i/>
          <w:sz w:val="24"/>
          <w:szCs w:val="24"/>
        </w:rPr>
        <w:t xml:space="preserve"> </w:t>
      </w:r>
      <w:r w:rsidR="0085530D" w:rsidRPr="007A0963">
        <w:rPr>
          <w:bCs/>
          <w:i/>
          <w:sz w:val="24"/>
          <w:szCs w:val="24"/>
        </w:rPr>
        <w:t>f</w:t>
      </w:r>
      <w:r w:rsidRPr="007A0963">
        <w:rPr>
          <w:i/>
          <w:sz w:val="24"/>
          <w:szCs w:val="24"/>
        </w:rPr>
        <w:t xml:space="preserve">inancial </w:t>
      </w:r>
      <w:r w:rsidR="0085530D" w:rsidRPr="007A0963">
        <w:rPr>
          <w:bCs/>
          <w:i/>
          <w:sz w:val="24"/>
          <w:szCs w:val="24"/>
        </w:rPr>
        <w:t>t</w:t>
      </w:r>
      <w:r w:rsidRPr="007A0963">
        <w:rPr>
          <w:i/>
          <w:sz w:val="24"/>
          <w:szCs w:val="24"/>
        </w:rPr>
        <w:t>echnology</w:t>
      </w:r>
    </w:p>
    <w:p w14:paraId="2F7592B7" w14:textId="77777777" w:rsidR="00D91E7B" w:rsidRPr="007A0963" w:rsidRDefault="00D91E7B" w:rsidP="0039634D">
      <w:pPr>
        <w:rPr>
          <w:sz w:val="24"/>
          <w:szCs w:val="24"/>
        </w:rPr>
      </w:pPr>
    </w:p>
    <w:sectPr w:rsidR="00D91E7B" w:rsidRPr="007A0963" w:rsidSect="00B55B22"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21C0D"/>
    <w:multiLevelType w:val="hybridMultilevel"/>
    <w:tmpl w:val="B204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7B"/>
    <w:rsid w:val="000A2B4E"/>
    <w:rsid w:val="000B79FD"/>
    <w:rsid w:val="000E0446"/>
    <w:rsid w:val="000F5C80"/>
    <w:rsid w:val="00187D0B"/>
    <w:rsid w:val="00190C96"/>
    <w:rsid w:val="001D1EFC"/>
    <w:rsid w:val="00381200"/>
    <w:rsid w:val="0039634D"/>
    <w:rsid w:val="003A4260"/>
    <w:rsid w:val="003C1EAD"/>
    <w:rsid w:val="004D1F58"/>
    <w:rsid w:val="00652722"/>
    <w:rsid w:val="0079497E"/>
    <w:rsid w:val="007A0963"/>
    <w:rsid w:val="007B7165"/>
    <w:rsid w:val="007C78C2"/>
    <w:rsid w:val="0085530D"/>
    <w:rsid w:val="00873D5A"/>
    <w:rsid w:val="008F7118"/>
    <w:rsid w:val="009A159A"/>
    <w:rsid w:val="009E0FAE"/>
    <w:rsid w:val="00B55B22"/>
    <w:rsid w:val="00BB7533"/>
    <w:rsid w:val="00C562F3"/>
    <w:rsid w:val="00D91E7B"/>
    <w:rsid w:val="00E24255"/>
    <w:rsid w:val="00E54B59"/>
    <w:rsid w:val="00EF0FA2"/>
    <w:rsid w:val="00F42DF7"/>
    <w:rsid w:val="00F521C2"/>
    <w:rsid w:val="00F7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3A14C"/>
  <w15:chartTrackingRefBased/>
  <w15:docId w15:val="{2AF4301A-B9BD-438D-96E4-3058F4B6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E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62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2F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96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Tweddle</dc:creator>
  <cp:keywords/>
  <dc:description/>
  <cp:lastModifiedBy>Rebecca Lubecki</cp:lastModifiedBy>
  <cp:revision>3</cp:revision>
  <dcterms:created xsi:type="dcterms:W3CDTF">2019-01-09T15:44:00Z</dcterms:created>
  <dcterms:modified xsi:type="dcterms:W3CDTF">2019-01-09T15:44:00Z</dcterms:modified>
</cp:coreProperties>
</file>