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6B4DE" w14:textId="77777777" w:rsidR="005A00FF" w:rsidRPr="005A00FF" w:rsidRDefault="005A00FF" w:rsidP="005A00FF">
      <w:pPr>
        <w:spacing w:after="120" w:line="240" w:lineRule="auto"/>
        <w:outlineLvl w:val="1"/>
        <w:rPr>
          <w:rFonts w:eastAsia="Times New Roman" w:cstheme="minorHAnsi"/>
          <w:color w:val="375090"/>
          <w:sz w:val="48"/>
          <w:szCs w:val="48"/>
        </w:rPr>
      </w:pPr>
      <w:bookmarkStart w:id="0" w:name="_GoBack"/>
      <w:bookmarkEnd w:id="0"/>
      <w:r w:rsidRPr="005A00FF">
        <w:rPr>
          <w:rFonts w:eastAsia="Times New Roman" w:cstheme="minorHAnsi"/>
          <w:color w:val="375090"/>
          <w:sz w:val="48"/>
          <w:szCs w:val="48"/>
        </w:rPr>
        <w:t xml:space="preserve">Increasing Cybersecurity: 3 Steps to Mitigate the Hacker’s Heist </w:t>
      </w:r>
    </w:p>
    <w:p w14:paraId="37EC32E8" w14:textId="77777777" w:rsidR="005A00FF" w:rsidRPr="005A00FF" w:rsidRDefault="005A00FF" w:rsidP="005A00FF">
      <w:pPr>
        <w:spacing w:after="300" w:line="240" w:lineRule="auto"/>
        <w:rPr>
          <w:rFonts w:eastAsia="Times New Roman" w:cstheme="minorHAnsi"/>
          <w:sz w:val="21"/>
          <w:szCs w:val="21"/>
        </w:rPr>
      </w:pPr>
      <w:r w:rsidRPr="005A00FF">
        <w:rPr>
          <w:rFonts w:eastAsia="Times New Roman" w:cstheme="minorHAnsi"/>
          <w:sz w:val="21"/>
          <w:szCs w:val="21"/>
        </w:rPr>
        <w:t>Heading back from Las Vegas following ICBA’s annual convention, I can’t help but think about that heist flick, Ocean’s Eleven, as I consider today’s fraud landscape. The movie’s premise is this: A group of guys set out to steal an exorbitant sum from three casinos. Somehow, they are successful in outsmarting security systems, and they walk away with a cool $150 million. </w:t>
      </w:r>
    </w:p>
    <w:p w14:paraId="7B69D11C" w14:textId="77777777" w:rsidR="005A00FF" w:rsidRPr="005A00FF" w:rsidRDefault="005A00FF" w:rsidP="005A00FF">
      <w:pPr>
        <w:spacing w:after="0" w:line="240" w:lineRule="auto"/>
        <w:rPr>
          <w:rFonts w:eastAsia="Times New Roman" w:cstheme="minorHAnsi"/>
          <w:sz w:val="21"/>
          <w:szCs w:val="21"/>
        </w:rPr>
      </w:pPr>
      <w:r w:rsidRPr="005A00FF">
        <w:rPr>
          <w:rFonts w:eastAsia="Times New Roman" w:cstheme="minorHAnsi"/>
          <w:sz w:val="21"/>
          <w:szCs w:val="21"/>
        </w:rPr>
        <w:t xml:space="preserve">Contrast that with today’s cyber version of vault-busting thieves. Most often, these criminals don’t stray far from the digital comfort of sophisticated tech and the dark web, taking advantage of the weakest link in the financial transaction: the customer as a point of entry. In fact, the </w:t>
      </w:r>
      <w:hyperlink r:id="rId4" w:history="1">
        <w:r w:rsidRPr="005A00FF">
          <w:rPr>
            <w:rFonts w:eastAsia="Times New Roman" w:cstheme="minorHAnsi"/>
            <w:color w:val="0065C8"/>
            <w:sz w:val="21"/>
            <w:szCs w:val="21"/>
          </w:rPr>
          <w:t>FBI reports</w:t>
        </w:r>
      </w:hyperlink>
      <w:r w:rsidRPr="005A00FF">
        <w:rPr>
          <w:rFonts w:eastAsia="Times New Roman" w:cstheme="minorHAnsi"/>
          <w:sz w:val="21"/>
          <w:szCs w:val="21"/>
        </w:rPr>
        <w:t xml:space="preserve"> that cybercrime losses in 2016 were $1.33 billion, with email account compromise the number one source of loss. </w:t>
      </w:r>
    </w:p>
    <w:p w14:paraId="25880F6B" w14:textId="77777777" w:rsidR="005A00FF" w:rsidRPr="005A00FF" w:rsidRDefault="005A00FF" w:rsidP="005A00FF">
      <w:pPr>
        <w:spacing w:after="300" w:line="240" w:lineRule="auto"/>
        <w:rPr>
          <w:rFonts w:eastAsia="Times New Roman" w:cstheme="minorHAnsi"/>
          <w:sz w:val="21"/>
          <w:szCs w:val="21"/>
        </w:rPr>
      </w:pPr>
      <w:r w:rsidRPr="005A00FF">
        <w:rPr>
          <w:rFonts w:eastAsia="Times New Roman" w:cstheme="minorHAnsi"/>
          <w:sz w:val="21"/>
          <w:szCs w:val="21"/>
        </w:rPr>
        <w:t xml:space="preserve">With threats continuing to emerge, I sat down with ICBA’s cyber expert, Jeremy </w:t>
      </w:r>
      <w:proofErr w:type="spellStart"/>
      <w:r w:rsidRPr="005A00FF">
        <w:rPr>
          <w:rFonts w:eastAsia="Times New Roman" w:cstheme="minorHAnsi"/>
          <w:sz w:val="21"/>
          <w:szCs w:val="21"/>
        </w:rPr>
        <w:t>Dalpiaz</w:t>
      </w:r>
      <w:proofErr w:type="spellEnd"/>
      <w:r w:rsidRPr="005A00FF">
        <w:rPr>
          <w:rFonts w:eastAsia="Times New Roman" w:cstheme="minorHAnsi"/>
          <w:sz w:val="21"/>
          <w:szCs w:val="21"/>
        </w:rPr>
        <w:t>, assistant vice president of cyber and data security policy, to discuss what community banks can do to thwart cyberattacks. Our conversation uncovered three important tips for banks in navigating today’s cyber landscape. </w:t>
      </w:r>
    </w:p>
    <w:p w14:paraId="6FC4333E" w14:textId="77777777" w:rsidR="005A00FF" w:rsidRPr="005A00FF" w:rsidRDefault="005A00FF" w:rsidP="005A00FF">
      <w:pPr>
        <w:spacing w:after="300" w:line="240" w:lineRule="auto"/>
        <w:rPr>
          <w:rFonts w:eastAsia="Times New Roman" w:cstheme="minorHAnsi"/>
          <w:sz w:val="21"/>
          <w:szCs w:val="21"/>
        </w:rPr>
      </w:pPr>
      <w:r w:rsidRPr="005A00FF">
        <w:rPr>
          <w:rFonts w:eastAsia="Times New Roman" w:cstheme="minorHAnsi"/>
          <w:b/>
          <w:bCs/>
          <w:sz w:val="21"/>
          <w:szCs w:val="21"/>
        </w:rPr>
        <w:t>1.</w:t>
      </w:r>
      <w:r w:rsidRPr="005A00FF">
        <w:rPr>
          <w:rFonts w:eastAsia="Times New Roman" w:cstheme="minorHAnsi"/>
          <w:sz w:val="21"/>
          <w:szCs w:val="21"/>
        </w:rPr>
        <w:t xml:space="preserve"> </w:t>
      </w:r>
      <w:r w:rsidRPr="005A00FF">
        <w:rPr>
          <w:rFonts w:eastAsia="Times New Roman" w:cstheme="minorHAnsi"/>
          <w:b/>
          <w:bCs/>
          <w:sz w:val="21"/>
          <w:szCs w:val="21"/>
        </w:rPr>
        <w:t xml:space="preserve">Ensure the authentication procedures match the current risk environment. </w:t>
      </w:r>
      <w:r w:rsidRPr="005A00FF">
        <w:rPr>
          <w:rFonts w:eastAsia="Times New Roman" w:cstheme="minorHAnsi"/>
          <w:sz w:val="21"/>
          <w:szCs w:val="21"/>
        </w:rPr>
        <w:t>After the Equifax breach, hackers took hold of an enormous amount of information that, when cobbled together, can give thieves the keys to a person’s identity. Banks need to be one step ahead, updating their customer authentication procedures to ask for verification points that have not already been breached. </w:t>
      </w:r>
    </w:p>
    <w:p w14:paraId="54EEB447" w14:textId="77777777" w:rsidR="005A00FF" w:rsidRPr="005A00FF" w:rsidRDefault="005A00FF" w:rsidP="005A00FF">
      <w:pPr>
        <w:spacing w:after="300" w:line="240" w:lineRule="auto"/>
        <w:rPr>
          <w:rFonts w:eastAsia="Times New Roman" w:cstheme="minorHAnsi"/>
          <w:sz w:val="21"/>
          <w:szCs w:val="21"/>
        </w:rPr>
      </w:pPr>
      <w:r w:rsidRPr="005A00FF">
        <w:rPr>
          <w:rFonts w:eastAsia="Times New Roman" w:cstheme="minorHAnsi"/>
          <w:sz w:val="21"/>
          <w:szCs w:val="21"/>
        </w:rPr>
        <w:t>“Banks have to look at the type of information that was released and the type of information that they hold that they can use to authenticate customers,” Jeremy notes. “We haven’t seen the Equifax information on the dark web yet, but that really shouldn’t comfort anybody. If anything, that should raise the red flag.” </w:t>
      </w:r>
    </w:p>
    <w:p w14:paraId="6486F137" w14:textId="77777777" w:rsidR="005A00FF" w:rsidRPr="005A00FF" w:rsidRDefault="005A00FF" w:rsidP="005A00FF">
      <w:pPr>
        <w:spacing w:after="0" w:line="240" w:lineRule="auto"/>
        <w:rPr>
          <w:rFonts w:eastAsia="Times New Roman" w:cstheme="minorHAnsi"/>
          <w:sz w:val="21"/>
          <w:szCs w:val="21"/>
        </w:rPr>
      </w:pPr>
      <w:r w:rsidRPr="005A00FF">
        <w:rPr>
          <w:rFonts w:eastAsia="Times New Roman" w:cstheme="minorHAnsi"/>
          <w:sz w:val="21"/>
          <w:szCs w:val="21"/>
        </w:rPr>
        <w:t>Asking the right authentication question, unique to your data, remains one of the best things a bank can do. More insights for how to strengthen internal processes can be found in the resource, “</w:t>
      </w:r>
      <w:hyperlink r:id="rId5" w:history="1">
        <w:r w:rsidRPr="005A00FF">
          <w:rPr>
            <w:rFonts w:eastAsia="Times New Roman" w:cstheme="minorHAnsi"/>
            <w:color w:val="0065C8"/>
            <w:sz w:val="21"/>
            <w:szCs w:val="21"/>
          </w:rPr>
          <w:t>Tips for Community Banks Following the Equifax Breach</w:t>
        </w:r>
      </w:hyperlink>
      <w:r w:rsidRPr="005A00FF">
        <w:rPr>
          <w:rFonts w:eastAsia="Times New Roman" w:cstheme="minorHAnsi"/>
          <w:sz w:val="21"/>
          <w:szCs w:val="21"/>
        </w:rPr>
        <w:t>.” </w:t>
      </w:r>
    </w:p>
    <w:p w14:paraId="27E0BAA0" w14:textId="77777777" w:rsidR="005A00FF" w:rsidRPr="005A00FF" w:rsidRDefault="005A00FF" w:rsidP="005A00FF">
      <w:pPr>
        <w:spacing w:after="300" w:line="240" w:lineRule="auto"/>
        <w:rPr>
          <w:rFonts w:eastAsia="Times New Roman" w:cstheme="minorHAnsi"/>
          <w:sz w:val="21"/>
          <w:szCs w:val="21"/>
        </w:rPr>
      </w:pPr>
      <w:r w:rsidRPr="005A00FF">
        <w:rPr>
          <w:rFonts w:eastAsia="Times New Roman" w:cstheme="minorHAnsi"/>
          <w:b/>
          <w:bCs/>
          <w:sz w:val="21"/>
          <w:szCs w:val="21"/>
        </w:rPr>
        <w:t>2. Elevate cybersecurity to an enterprise-wide initiative.</w:t>
      </w:r>
      <w:r w:rsidRPr="005A00FF">
        <w:rPr>
          <w:rFonts w:eastAsia="Times New Roman" w:cstheme="minorHAnsi"/>
          <w:sz w:val="21"/>
          <w:szCs w:val="21"/>
        </w:rPr>
        <w:t xml:space="preserve"> Everyone within the bank has a responsibility to watch out for cybercrime. Because it often happens at the point of entry, every department from customer service to executive management needs to be on the lookout for anomalies in customer behavior or inconsistent requests. </w:t>
      </w:r>
    </w:p>
    <w:p w14:paraId="73645853" w14:textId="77777777" w:rsidR="005A00FF" w:rsidRPr="005A00FF" w:rsidRDefault="005A00FF" w:rsidP="005A00FF">
      <w:pPr>
        <w:spacing w:after="300" w:line="240" w:lineRule="auto"/>
        <w:rPr>
          <w:rFonts w:eastAsia="Times New Roman" w:cstheme="minorHAnsi"/>
          <w:sz w:val="21"/>
          <w:szCs w:val="21"/>
        </w:rPr>
      </w:pPr>
      <w:r w:rsidRPr="005A00FF">
        <w:rPr>
          <w:rFonts w:eastAsia="Times New Roman" w:cstheme="minorHAnsi"/>
          <w:sz w:val="21"/>
          <w:szCs w:val="21"/>
        </w:rPr>
        <w:t>“Cybersecurity is a field that has gone from a technical focus to a whole bank focus,” Jeremy shared. “It is in every line of business and in everyone’s interest that bank employees become familiar with how fraud can occur – whether that’s through hacking, phishing, spoofing or another method.” </w:t>
      </w:r>
    </w:p>
    <w:p w14:paraId="6B9D5DF0" w14:textId="77777777" w:rsidR="005A00FF" w:rsidRPr="005A00FF" w:rsidRDefault="005A00FF" w:rsidP="005A00FF">
      <w:pPr>
        <w:spacing w:after="0" w:line="240" w:lineRule="auto"/>
        <w:rPr>
          <w:rFonts w:eastAsia="Times New Roman" w:cstheme="minorHAnsi"/>
          <w:sz w:val="21"/>
          <w:szCs w:val="21"/>
        </w:rPr>
      </w:pPr>
      <w:r w:rsidRPr="005A00FF">
        <w:rPr>
          <w:rFonts w:eastAsia="Times New Roman" w:cstheme="minorHAnsi"/>
          <w:sz w:val="21"/>
          <w:szCs w:val="21"/>
        </w:rPr>
        <w:t xml:space="preserve">As an enterprise-wide activity, banks also should test their incident response policy. Every year, FS-ISAC offers a free </w:t>
      </w:r>
      <w:hyperlink r:id="rId6" w:history="1">
        <w:r w:rsidRPr="005A00FF">
          <w:rPr>
            <w:rFonts w:eastAsia="Times New Roman" w:cstheme="minorHAnsi"/>
            <w:color w:val="0065C8"/>
            <w:sz w:val="21"/>
            <w:szCs w:val="21"/>
          </w:rPr>
          <w:t>Cyberattack Against Payment Systems (CAPS) exercise</w:t>
        </w:r>
      </w:hyperlink>
      <w:r w:rsidRPr="005A00FF">
        <w:rPr>
          <w:rFonts w:eastAsia="Times New Roman" w:cstheme="minorHAnsi"/>
          <w:sz w:val="21"/>
          <w:szCs w:val="21"/>
        </w:rPr>
        <w:t xml:space="preserve"> that allows financial institutions to identify gaps in their processes. </w:t>
      </w:r>
    </w:p>
    <w:p w14:paraId="0F29AEB6" w14:textId="77777777" w:rsidR="005A00FF" w:rsidRPr="005A00FF" w:rsidRDefault="005A00FF" w:rsidP="005A00FF">
      <w:pPr>
        <w:spacing w:after="300" w:line="240" w:lineRule="auto"/>
        <w:rPr>
          <w:rFonts w:eastAsia="Times New Roman" w:cstheme="minorHAnsi"/>
          <w:sz w:val="21"/>
          <w:szCs w:val="21"/>
        </w:rPr>
      </w:pPr>
      <w:r w:rsidRPr="005A00FF">
        <w:rPr>
          <w:rFonts w:eastAsia="Times New Roman" w:cstheme="minorHAnsi"/>
          <w:sz w:val="21"/>
          <w:szCs w:val="21"/>
        </w:rPr>
        <w:t>This year’s exercises take place Oct. 9-10 or Oct. 16-17, and it’s worth considering for your institution. </w:t>
      </w:r>
    </w:p>
    <w:p w14:paraId="4D202C98" w14:textId="77777777" w:rsidR="005A00FF" w:rsidRPr="005A00FF" w:rsidRDefault="005A00FF" w:rsidP="005A00FF">
      <w:pPr>
        <w:spacing w:after="300" w:line="240" w:lineRule="auto"/>
        <w:rPr>
          <w:rFonts w:eastAsia="Times New Roman" w:cstheme="minorHAnsi"/>
          <w:sz w:val="21"/>
          <w:szCs w:val="21"/>
        </w:rPr>
      </w:pPr>
      <w:r w:rsidRPr="005A00FF">
        <w:rPr>
          <w:rFonts w:eastAsia="Times New Roman" w:cstheme="minorHAnsi"/>
          <w:sz w:val="21"/>
          <w:szCs w:val="21"/>
        </w:rPr>
        <w:t>“These exercises are good not only for cybersecurity resiliency but for business resiliency in general,” Jeremy says. “We receive great feedback from banks that participate.” </w:t>
      </w:r>
    </w:p>
    <w:p w14:paraId="665BB110" w14:textId="77777777" w:rsidR="005A00FF" w:rsidRPr="005A00FF" w:rsidRDefault="005A00FF" w:rsidP="005A00FF">
      <w:pPr>
        <w:spacing w:after="300" w:line="240" w:lineRule="auto"/>
        <w:rPr>
          <w:rFonts w:eastAsia="Times New Roman" w:cstheme="minorHAnsi"/>
          <w:sz w:val="21"/>
          <w:szCs w:val="21"/>
        </w:rPr>
      </w:pPr>
      <w:r w:rsidRPr="005A00FF">
        <w:rPr>
          <w:rFonts w:eastAsia="Times New Roman" w:cstheme="minorHAnsi"/>
          <w:b/>
          <w:bCs/>
          <w:sz w:val="21"/>
          <w:szCs w:val="21"/>
        </w:rPr>
        <w:t>3. Share information with one another—and with your customers.</w:t>
      </w:r>
      <w:r w:rsidRPr="005A00FF">
        <w:rPr>
          <w:rFonts w:eastAsia="Times New Roman" w:cstheme="minorHAnsi"/>
          <w:sz w:val="21"/>
          <w:szCs w:val="21"/>
        </w:rPr>
        <w:t xml:space="preserve"> One of the simplest ways to counter cybercrime is to participate in information-sharing with other banks. When banks communicate with each </w:t>
      </w:r>
      <w:r w:rsidRPr="005A00FF">
        <w:rPr>
          <w:rFonts w:eastAsia="Times New Roman" w:cstheme="minorHAnsi"/>
          <w:sz w:val="21"/>
          <w:szCs w:val="21"/>
        </w:rPr>
        <w:lastRenderedPageBreak/>
        <w:t>other, each entity strengthens. Individual financial institutions get to know hacker tactics, techniques and procedures and identify ways to address potential vulnerabilities. </w:t>
      </w:r>
    </w:p>
    <w:p w14:paraId="66A49797" w14:textId="77777777" w:rsidR="005A00FF" w:rsidRPr="005A00FF" w:rsidRDefault="005A00FF" w:rsidP="005A00FF">
      <w:pPr>
        <w:spacing w:after="300" w:line="240" w:lineRule="auto"/>
        <w:rPr>
          <w:rFonts w:eastAsia="Times New Roman" w:cstheme="minorHAnsi"/>
          <w:sz w:val="21"/>
          <w:szCs w:val="21"/>
        </w:rPr>
      </w:pPr>
      <w:r w:rsidRPr="005A00FF">
        <w:rPr>
          <w:rFonts w:eastAsia="Times New Roman" w:cstheme="minorHAnsi"/>
          <w:sz w:val="21"/>
          <w:szCs w:val="21"/>
        </w:rPr>
        <w:t>“With FS-ISAC, you can share information in a trusted environment,” Jeremy points out. “Everybody is sharing information about how to better protect each other’s systems. It’s a pretty unique opportunity.” </w:t>
      </w:r>
    </w:p>
    <w:p w14:paraId="53586175" w14:textId="77777777" w:rsidR="005A00FF" w:rsidRPr="005A00FF" w:rsidRDefault="005A00FF" w:rsidP="005A00FF">
      <w:pPr>
        <w:spacing w:after="0" w:line="240" w:lineRule="auto"/>
        <w:rPr>
          <w:rFonts w:eastAsia="Times New Roman" w:cstheme="minorHAnsi"/>
          <w:sz w:val="21"/>
          <w:szCs w:val="21"/>
        </w:rPr>
      </w:pPr>
      <w:r w:rsidRPr="005A00FF">
        <w:rPr>
          <w:rFonts w:eastAsia="Times New Roman" w:cstheme="minorHAnsi"/>
          <w:sz w:val="21"/>
          <w:szCs w:val="21"/>
        </w:rPr>
        <w:t xml:space="preserve">In terms of sharing with customers, ICBA is involved in </w:t>
      </w:r>
      <w:hyperlink r:id="rId7" w:history="1">
        <w:r w:rsidRPr="005A00FF">
          <w:rPr>
            <w:rFonts w:eastAsia="Times New Roman" w:cstheme="minorHAnsi"/>
            <w:color w:val="0065C8"/>
            <w:sz w:val="21"/>
            <w:szCs w:val="21"/>
          </w:rPr>
          <w:t>Operation Stop It!</w:t>
        </w:r>
      </w:hyperlink>
      <w:r w:rsidRPr="005A00FF">
        <w:rPr>
          <w:rFonts w:eastAsia="Times New Roman" w:cstheme="minorHAnsi"/>
          <w:sz w:val="21"/>
          <w:szCs w:val="21"/>
        </w:rPr>
        <w:t xml:space="preserve"> which is a joint initiative between the International Association of Chiefs of Police, the Identity Theft Council, and the Identity Theft Resource Center, to help protect communities from identity theft and to make sure victims get the help they need. This group is a great resource for your customers as issues arise, and there are opportunities for community bank involvement as well. </w:t>
      </w:r>
    </w:p>
    <w:p w14:paraId="009FAB09" w14:textId="77777777" w:rsidR="005A00FF" w:rsidRPr="005A00FF" w:rsidRDefault="005A00FF" w:rsidP="005A00FF">
      <w:pPr>
        <w:spacing w:after="300" w:line="240" w:lineRule="auto"/>
        <w:rPr>
          <w:rFonts w:eastAsia="Times New Roman" w:cstheme="minorHAnsi"/>
          <w:sz w:val="21"/>
          <w:szCs w:val="21"/>
        </w:rPr>
      </w:pPr>
      <w:r w:rsidRPr="005A00FF">
        <w:rPr>
          <w:rFonts w:eastAsia="Times New Roman" w:cstheme="minorHAnsi"/>
          <w:sz w:val="21"/>
          <w:szCs w:val="21"/>
        </w:rPr>
        <w:t>While these tips provide support in updating your fraud mitigation procedures, financial institutions must stay vigilant against cybercrime in ways that align with their organizations’ strategic direction. </w:t>
      </w:r>
    </w:p>
    <w:p w14:paraId="08713078" w14:textId="53B5CD0D" w:rsidR="005A00FF" w:rsidRPr="005A00FF" w:rsidRDefault="005A00FF" w:rsidP="005A00FF">
      <w:pPr>
        <w:spacing w:after="240" w:line="240" w:lineRule="auto"/>
        <w:rPr>
          <w:rFonts w:eastAsia="Times New Roman" w:cstheme="minorHAnsi"/>
          <w:sz w:val="21"/>
          <w:szCs w:val="21"/>
        </w:rPr>
      </w:pPr>
      <w:r w:rsidRPr="005A00FF">
        <w:rPr>
          <w:rFonts w:eastAsia="Times New Roman" w:cstheme="minorHAnsi"/>
          <w:sz w:val="21"/>
          <w:szCs w:val="21"/>
        </w:rPr>
        <w:t>No matter the approach, todays cyberattacks call for something more sophisticated than the surveillance found in an old-school casino caper. A bank’s job is to identify ways to outsmart cybercriminals and stay a step ahead to safeguard customer accounts.</w:t>
      </w:r>
    </w:p>
    <w:p w14:paraId="795D27E9" w14:textId="77777777" w:rsidR="005A00FF" w:rsidRPr="005A00FF" w:rsidRDefault="005A00FF" w:rsidP="005A00FF">
      <w:pPr>
        <w:spacing w:after="0" w:line="240" w:lineRule="auto"/>
        <w:rPr>
          <w:rFonts w:eastAsia="Times New Roman" w:cstheme="minorHAnsi"/>
          <w:sz w:val="21"/>
          <w:szCs w:val="21"/>
        </w:rPr>
      </w:pPr>
      <w:r w:rsidRPr="005A00FF">
        <w:rPr>
          <w:rFonts w:eastAsia="Times New Roman" w:cstheme="minorHAnsi"/>
          <w:b/>
          <w:bCs/>
          <w:sz w:val="21"/>
          <w:szCs w:val="21"/>
        </w:rPr>
        <w:t xml:space="preserve">Cybersecurity Resources for Community Banks </w:t>
      </w:r>
      <w:r w:rsidRPr="005A00FF">
        <w:rPr>
          <w:rFonts w:eastAsia="Times New Roman" w:cstheme="minorHAnsi"/>
          <w:b/>
          <w:bCs/>
          <w:sz w:val="21"/>
          <w:szCs w:val="21"/>
        </w:rPr>
        <w:br/>
      </w:r>
      <w:r w:rsidRPr="005A00FF">
        <w:rPr>
          <w:rFonts w:eastAsia="Times New Roman" w:cstheme="minorHAnsi"/>
          <w:b/>
          <w:bCs/>
          <w:sz w:val="21"/>
          <w:szCs w:val="21"/>
        </w:rPr>
        <w:br/>
      </w:r>
      <w:hyperlink r:id="rId8" w:history="1">
        <w:r w:rsidRPr="005A00FF">
          <w:rPr>
            <w:rFonts w:eastAsia="Times New Roman" w:cstheme="minorHAnsi"/>
            <w:color w:val="0065C8"/>
            <w:sz w:val="21"/>
            <w:szCs w:val="21"/>
          </w:rPr>
          <w:t>I</w:t>
        </w:r>
      </w:hyperlink>
      <w:hyperlink r:id="rId9" w:history="1">
        <w:r w:rsidRPr="005A00FF">
          <w:rPr>
            <w:rFonts w:eastAsia="Times New Roman" w:cstheme="minorHAnsi"/>
            <w:color w:val="0065C8"/>
            <w:sz w:val="21"/>
            <w:szCs w:val="21"/>
          </w:rPr>
          <w:t>CBA Cybersecurity Resource Center</w:t>
        </w:r>
      </w:hyperlink>
      <w:r w:rsidRPr="005A00FF">
        <w:rPr>
          <w:rFonts w:eastAsia="Times New Roman" w:cstheme="minorHAnsi"/>
          <w:sz w:val="21"/>
          <w:szCs w:val="21"/>
        </w:rPr>
        <w:t xml:space="preserve"> &amp; </w:t>
      </w:r>
      <w:hyperlink r:id="rId10" w:history="1">
        <w:r w:rsidRPr="005A00FF">
          <w:rPr>
            <w:rFonts w:eastAsia="Times New Roman" w:cstheme="minorHAnsi"/>
            <w:color w:val="0065C8"/>
            <w:sz w:val="21"/>
            <w:szCs w:val="21"/>
          </w:rPr>
          <w:t xml:space="preserve">ICBA Data Security Resource Center </w:t>
        </w:r>
      </w:hyperlink>
      <w:r w:rsidRPr="005A00FF">
        <w:rPr>
          <w:rFonts w:eastAsia="Times New Roman" w:cstheme="minorHAnsi"/>
          <w:sz w:val="21"/>
          <w:szCs w:val="21"/>
        </w:rPr>
        <w:t>– Provides tools and resources for community banks to stay up-to-speed, including a data breach information center and a cyber and data security toolkit</w:t>
      </w:r>
      <w:r w:rsidRPr="005A00FF">
        <w:rPr>
          <w:rFonts w:eastAsia="Times New Roman" w:cstheme="minorHAnsi"/>
          <w:sz w:val="21"/>
          <w:szCs w:val="21"/>
        </w:rPr>
        <w:br/>
      </w:r>
      <w:r w:rsidRPr="005A00FF">
        <w:rPr>
          <w:rFonts w:eastAsia="Times New Roman" w:cstheme="minorHAnsi"/>
          <w:sz w:val="21"/>
          <w:szCs w:val="21"/>
        </w:rPr>
        <w:br/>
      </w:r>
      <w:hyperlink r:id="rId11" w:history="1">
        <w:r w:rsidRPr="005A00FF">
          <w:rPr>
            <w:rFonts w:eastAsia="Times New Roman" w:cstheme="minorHAnsi"/>
            <w:color w:val="0065C8"/>
            <w:sz w:val="21"/>
            <w:szCs w:val="21"/>
          </w:rPr>
          <w:t>FS-ISAC</w:t>
        </w:r>
      </w:hyperlink>
      <w:r w:rsidRPr="005A00FF">
        <w:rPr>
          <w:rFonts w:eastAsia="Times New Roman" w:cstheme="minorHAnsi"/>
          <w:sz w:val="21"/>
          <w:szCs w:val="21"/>
        </w:rPr>
        <w:t xml:space="preserve"> – Offers a Community Institution Council for information-sharing</w:t>
      </w:r>
      <w:r w:rsidRPr="005A00FF">
        <w:rPr>
          <w:rFonts w:eastAsia="Times New Roman" w:cstheme="minorHAnsi"/>
          <w:sz w:val="21"/>
          <w:szCs w:val="21"/>
        </w:rPr>
        <w:br/>
      </w:r>
      <w:r w:rsidRPr="005A00FF">
        <w:rPr>
          <w:rFonts w:eastAsia="Times New Roman" w:cstheme="minorHAnsi"/>
          <w:sz w:val="21"/>
          <w:szCs w:val="21"/>
        </w:rPr>
        <w:br/>
      </w:r>
      <w:hyperlink r:id="rId12" w:history="1">
        <w:r w:rsidRPr="005A00FF">
          <w:rPr>
            <w:rFonts w:eastAsia="Times New Roman" w:cstheme="minorHAnsi"/>
            <w:color w:val="0065C8"/>
            <w:sz w:val="21"/>
            <w:szCs w:val="21"/>
          </w:rPr>
          <w:t>Operation Stop It!</w:t>
        </w:r>
      </w:hyperlink>
      <w:r w:rsidRPr="005A00FF">
        <w:rPr>
          <w:rFonts w:eastAsia="Times New Roman" w:cstheme="minorHAnsi"/>
          <w:sz w:val="21"/>
          <w:szCs w:val="21"/>
        </w:rPr>
        <w:t xml:space="preserve"> – Community-based identity theft initiative</w:t>
      </w:r>
      <w:r w:rsidRPr="005A00FF">
        <w:rPr>
          <w:rFonts w:eastAsia="Times New Roman" w:cstheme="minorHAnsi"/>
          <w:sz w:val="21"/>
          <w:szCs w:val="21"/>
        </w:rPr>
        <w:br/>
      </w:r>
      <w:r w:rsidRPr="005A00FF">
        <w:rPr>
          <w:rFonts w:eastAsia="Times New Roman" w:cstheme="minorHAnsi"/>
          <w:sz w:val="21"/>
          <w:szCs w:val="21"/>
        </w:rPr>
        <w:br/>
      </w:r>
      <w:hyperlink r:id="rId13" w:history="1">
        <w:r w:rsidRPr="005A00FF">
          <w:rPr>
            <w:rFonts w:eastAsia="Times New Roman" w:cstheme="minorHAnsi"/>
            <w:color w:val="0065C8"/>
            <w:sz w:val="21"/>
            <w:szCs w:val="21"/>
          </w:rPr>
          <w:t>Krebs On Security</w:t>
        </w:r>
      </w:hyperlink>
      <w:r w:rsidRPr="005A00FF">
        <w:rPr>
          <w:rFonts w:eastAsia="Times New Roman" w:cstheme="minorHAnsi"/>
          <w:sz w:val="21"/>
          <w:szCs w:val="21"/>
        </w:rPr>
        <w:t xml:space="preserve"> - A daily blog covering computer security and cybercrime, published by American journalist and investigative reporter, Brian Krebs. </w:t>
      </w:r>
    </w:p>
    <w:p w14:paraId="05D10375" w14:textId="77777777" w:rsidR="005A00FF" w:rsidRPr="005A00FF" w:rsidRDefault="001E75A6" w:rsidP="005A00FF">
      <w:pPr>
        <w:spacing w:line="240" w:lineRule="auto"/>
        <w:rPr>
          <w:rFonts w:eastAsia="Times New Roman" w:cstheme="minorHAnsi"/>
          <w:sz w:val="21"/>
          <w:szCs w:val="21"/>
        </w:rPr>
      </w:pPr>
      <w:hyperlink r:id="rId14" w:history="1">
        <w:r w:rsidR="005A00FF" w:rsidRPr="005A00FF">
          <w:rPr>
            <w:rFonts w:eastAsia="Times New Roman" w:cstheme="minorHAnsi"/>
            <w:color w:val="0065C8"/>
            <w:sz w:val="21"/>
            <w:szCs w:val="21"/>
          </w:rPr>
          <w:t>Verizon Threat Intelligence Report</w:t>
        </w:r>
      </w:hyperlink>
      <w:r w:rsidR="005A00FF" w:rsidRPr="005A00FF">
        <w:rPr>
          <w:rFonts w:eastAsia="Times New Roman" w:cstheme="minorHAnsi"/>
          <w:sz w:val="21"/>
          <w:szCs w:val="21"/>
        </w:rPr>
        <w:t> - A comprehensive analysis of breaches and incidents investigated by Verizon personnel or reported by one of their 65 partner organizations.</w:t>
      </w:r>
      <w:r w:rsidR="005A00FF" w:rsidRPr="005A00FF">
        <w:rPr>
          <w:rFonts w:eastAsia="Times New Roman" w:cstheme="minorHAnsi"/>
          <w:sz w:val="21"/>
          <w:szCs w:val="21"/>
        </w:rPr>
        <w:br/>
      </w:r>
      <w:r w:rsidR="005A00FF" w:rsidRPr="005A00FF">
        <w:rPr>
          <w:rFonts w:eastAsia="Times New Roman" w:cstheme="minorHAnsi"/>
          <w:sz w:val="21"/>
          <w:szCs w:val="21"/>
        </w:rPr>
        <w:br/>
      </w:r>
      <w:hyperlink r:id="rId15" w:history="1">
        <w:r w:rsidR="005A00FF" w:rsidRPr="005A00FF">
          <w:rPr>
            <w:rFonts w:eastAsia="Times New Roman" w:cstheme="minorHAnsi"/>
            <w:color w:val="0065C8"/>
            <w:sz w:val="21"/>
            <w:szCs w:val="21"/>
          </w:rPr>
          <w:t>FireEye</w:t>
        </w:r>
      </w:hyperlink>
      <w:r w:rsidR="005A00FF" w:rsidRPr="005A00FF">
        <w:rPr>
          <w:rFonts w:eastAsia="Times New Roman" w:cstheme="minorHAnsi"/>
          <w:sz w:val="21"/>
          <w:szCs w:val="21"/>
        </w:rPr>
        <w:t xml:space="preserve"> - FireEye is an intelligence-led security company.</w:t>
      </w:r>
    </w:p>
    <w:p w14:paraId="64C8BC4F" w14:textId="77777777" w:rsidR="00A5135F" w:rsidRPr="005A00FF" w:rsidRDefault="00A5135F">
      <w:pPr>
        <w:rPr>
          <w:rFonts w:cstheme="minorHAnsi"/>
        </w:rPr>
      </w:pPr>
    </w:p>
    <w:sectPr w:rsidR="00A5135F" w:rsidRPr="005A00FF" w:rsidSect="00E04775">
      <w:pgSz w:w="12240" w:h="15840" w:orient="landscape" w:code="17"/>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bookFoldPrinting/>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0FF"/>
    <w:rsid w:val="001420F3"/>
    <w:rsid w:val="001E75A6"/>
    <w:rsid w:val="00437AB3"/>
    <w:rsid w:val="004421DF"/>
    <w:rsid w:val="005A00FF"/>
    <w:rsid w:val="007436B8"/>
    <w:rsid w:val="00A5135F"/>
    <w:rsid w:val="00CD4B7D"/>
    <w:rsid w:val="00DA3727"/>
    <w:rsid w:val="00DD3B89"/>
    <w:rsid w:val="00E04775"/>
    <w:rsid w:val="00E74ACB"/>
    <w:rsid w:val="00E92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079C8"/>
  <w15:chartTrackingRefBased/>
  <w15:docId w15:val="{BFC19239-8744-4660-8108-10536EE9C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781181">
      <w:bodyDiv w:val="1"/>
      <w:marLeft w:val="0"/>
      <w:marRight w:val="0"/>
      <w:marTop w:val="0"/>
      <w:marBottom w:val="0"/>
      <w:divBdr>
        <w:top w:val="none" w:sz="0" w:space="0" w:color="auto"/>
        <w:left w:val="none" w:sz="0" w:space="0" w:color="auto"/>
        <w:bottom w:val="none" w:sz="0" w:space="0" w:color="auto"/>
        <w:right w:val="none" w:sz="0" w:space="0" w:color="auto"/>
      </w:divBdr>
      <w:divsChild>
        <w:div w:id="2145152355">
          <w:marLeft w:val="0"/>
          <w:marRight w:val="0"/>
          <w:marTop w:val="0"/>
          <w:marBottom w:val="0"/>
          <w:divBdr>
            <w:top w:val="none" w:sz="0" w:space="0" w:color="auto"/>
            <w:left w:val="none" w:sz="0" w:space="0" w:color="auto"/>
            <w:bottom w:val="none" w:sz="0" w:space="0" w:color="auto"/>
            <w:right w:val="none" w:sz="0" w:space="0" w:color="auto"/>
          </w:divBdr>
          <w:divsChild>
            <w:div w:id="2073842207">
              <w:marLeft w:val="0"/>
              <w:marRight w:val="0"/>
              <w:marTop w:val="0"/>
              <w:marBottom w:val="0"/>
              <w:divBdr>
                <w:top w:val="none" w:sz="0" w:space="0" w:color="auto"/>
                <w:left w:val="none" w:sz="0" w:space="0" w:color="auto"/>
                <w:bottom w:val="none" w:sz="0" w:space="0" w:color="auto"/>
                <w:right w:val="none" w:sz="0" w:space="0" w:color="auto"/>
              </w:divBdr>
              <w:divsChild>
                <w:div w:id="1623803825">
                  <w:marLeft w:val="-4950"/>
                  <w:marRight w:val="0"/>
                  <w:marTop w:val="0"/>
                  <w:marBottom w:val="480"/>
                  <w:divBdr>
                    <w:top w:val="none" w:sz="0" w:space="0" w:color="auto"/>
                    <w:left w:val="none" w:sz="0" w:space="0" w:color="auto"/>
                    <w:bottom w:val="none" w:sz="0" w:space="0" w:color="auto"/>
                    <w:right w:val="none" w:sz="0" w:space="0" w:color="auto"/>
                  </w:divBdr>
                  <w:divsChild>
                    <w:div w:id="1647779961">
                      <w:marLeft w:val="4950"/>
                      <w:marRight w:val="0"/>
                      <w:marTop w:val="0"/>
                      <w:marBottom w:val="0"/>
                      <w:divBdr>
                        <w:top w:val="none" w:sz="0" w:space="0" w:color="auto"/>
                        <w:left w:val="none" w:sz="0" w:space="0" w:color="auto"/>
                        <w:bottom w:val="none" w:sz="0" w:space="0" w:color="auto"/>
                        <w:right w:val="none" w:sz="0" w:space="0" w:color="auto"/>
                      </w:divBdr>
                      <w:divsChild>
                        <w:div w:id="1011104441">
                          <w:marLeft w:val="0"/>
                          <w:marRight w:val="0"/>
                          <w:marTop w:val="0"/>
                          <w:marBottom w:val="0"/>
                          <w:divBdr>
                            <w:top w:val="none" w:sz="0" w:space="0" w:color="auto"/>
                            <w:left w:val="none" w:sz="0" w:space="0" w:color="auto"/>
                            <w:bottom w:val="none" w:sz="0" w:space="0" w:color="auto"/>
                            <w:right w:val="none" w:sz="0" w:space="0" w:color="auto"/>
                          </w:divBdr>
                          <w:divsChild>
                            <w:div w:id="1375235001">
                              <w:marLeft w:val="0"/>
                              <w:marRight w:val="0"/>
                              <w:marTop w:val="0"/>
                              <w:marBottom w:val="0"/>
                              <w:divBdr>
                                <w:top w:val="none" w:sz="0" w:space="0" w:color="auto"/>
                                <w:left w:val="none" w:sz="0" w:space="0" w:color="auto"/>
                                <w:bottom w:val="none" w:sz="0" w:space="0" w:color="auto"/>
                                <w:right w:val="none" w:sz="0" w:space="0" w:color="auto"/>
                              </w:divBdr>
                              <w:divsChild>
                                <w:div w:id="1186359712">
                                  <w:marLeft w:val="0"/>
                                  <w:marRight w:val="0"/>
                                  <w:marTop w:val="0"/>
                                  <w:marBottom w:val="0"/>
                                  <w:divBdr>
                                    <w:top w:val="none" w:sz="0" w:space="0" w:color="auto"/>
                                    <w:left w:val="none" w:sz="0" w:space="0" w:color="auto"/>
                                    <w:bottom w:val="none" w:sz="0" w:space="0" w:color="auto"/>
                                    <w:right w:val="none" w:sz="0" w:space="0" w:color="auto"/>
                                  </w:divBdr>
                                  <w:divsChild>
                                    <w:div w:id="2033458880">
                                      <w:marLeft w:val="0"/>
                                      <w:marRight w:val="0"/>
                                      <w:marTop w:val="0"/>
                                      <w:marBottom w:val="0"/>
                                      <w:divBdr>
                                        <w:top w:val="none" w:sz="0" w:space="0" w:color="auto"/>
                                        <w:left w:val="none" w:sz="0" w:space="0" w:color="auto"/>
                                        <w:bottom w:val="none" w:sz="0" w:space="0" w:color="auto"/>
                                        <w:right w:val="none" w:sz="0" w:space="0" w:color="auto"/>
                                      </w:divBdr>
                                      <w:divsChild>
                                        <w:div w:id="1553272494">
                                          <w:marLeft w:val="0"/>
                                          <w:marRight w:val="0"/>
                                          <w:marTop w:val="0"/>
                                          <w:marBottom w:val="0"/>
                                          <w:divBdr>
                                            <w:top w:val="none" w:sz="0" w:space="0" w:color="auto"/>
                                            <w:left w:val="none" w:sz="0" w:space="0" w:color="auto"/>
                                            <w:bottom w:val="none" w:sz="0" w:space="0" w:color="auto"/>
                                            <w:right w:val="none" w:sz="0" w:space="0" w:color="auto"/>
                                          </w:divBdr>
                                        </w:div>
                                        <w:div w:id="7817313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icba.icba.org/eweb/DynamicPage.aspx?WebCode=LoginRequired&amp;Site=icba&amp;URL_Success=http%3a%2f%2fwww.icba.org%2fsolutions%2ftools%2fcyber-data-security-toolkit%3fuserToken%3d%7btoken%7d" TargetMode="External"/><Relationship Id="rId13" Type="http://schemas.openxmlformats.org/officeDocument/2006/relationships/hyperlink" Target="https://krebsonsecurity.com/" TargetMode="External"/><Relationship Id="rId3" Type="http://schemas.openxmlformats.org/officeDocument/2006/relationships/webSettings" Target="webSettings.xml"/><Relationship Id="rId7" Type="http://schemas.openxmlformats.org/officeDocument/2006/relationships/hyperlink" Target="https://www.operationstopit.org/" TargetMode="External"/><Relationship Id="rId12" Type="http://schemas.openxmlformats.org/officeDocument/2006/relationships/hyperlink" Target="https://www.operationstopit.or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fsisac.com/Exercises-CAPS" TargetMode="External"/><Relationship Id="rId11" Type="http://schemas.openxmlformats.org/officeDocument/2006/relationships/hyperlink" Target="https://www.fsisac.com/" TargetMode="External"/><Relationship Id="rId5" Type="http://schemas.openxmlformats.org/officeDocument/2006/relationships/hyperlink" Target="https://myicba.icba.org/eweb/DynamicPage.aspx?WebCode=LoginRequired&amp;Site=icba&amp;URL_Success=http%3a%2f%2fwww.icba.org%2fdocs%2fdefault-source%2ficba---general-(secure-members)%2fequifax-breach%2ftips-for-community-banks.pdf%3fsfvrsn%3d6%26userToken%3d%7btoken%7d" TargetMode="External"/><Relationship Id="rId15" Type="http://schemas.openxmlformats.org/officeDocument/2006/relationships/hyperlink" Target="https://www.fireeye.com/" TargetMode="External"/><Relationship Id="rId10" Type="http://schemas.openxmlformats.org/officeDocument/2006/relationships/hyperlink" Target="http://www.icba.org/advocacy/industry-issues/data-breach" TargetMode="External"/><Relationship Id="rId4" Type="http://schemas.openxmlformats.org/officeDocument/2006/relationships/hyperlink" Target="https://pdf.ic3.gov/2016_IC3Report.pdf" TargetMode="External"/><Relationship Id="rId9" Type="http://schemas.openxmlformats.org/officeDocument/2006/relationships/hyperlink" Target="https://myicba.icba.org/eweb/DynamicPage.aspx?WebCode=LoginRequired&amp;Site=icba&amp;URL_Success=http%3a%2f%2fwww.icba.org%2fsolutions%2ftools%2fcyber-data-security-toolkit%3fuserToken%3d%7btoken%7d" TargetMode="External"/><Relationship Id="rId14" Type="http://schemas.openxmlformats.org/officeDocument/2006/relationships/hyperlink" Target="http://www.verizonenterprise.com/verizon-insights-lab/dbir/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1011</Words>
  <Characters>5763</Characters>
  <Application>Microsoft Office Word</Application>
  <DocSecurity>0</DocSecurity>
  <Lines>48</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Increasing Cybersecurity: 3 Steps to Mitigate the Hacker’s Heist </vt:lpstr>
    </vt:vector>
  </TitlesOfParts>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Cipriano</dc:creator>
  <cp:keywords/>
  <dc:description/>
  <cp:lastModifiedBy>Audrey Cipriano</cp:lastModifiedBy>
  <cp:revision>2</cp:revision>
  <dcterms:created xsi:type="dcterms:W3CDTF">2018-03-26T17:47:00Z</dcterms:created>
  <dcterms:modified xsi:type="dcterms:W3CDTF">2018-03-26T17:47:00Z</dcterms:modified>
</cp:coreProperties>
</file>