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F9EFD" w14:textId="77777777" w:rsidR="00E17690" w:rsidRPr="00095353" w:rsidRDefault="00E17690" w:rsidP="00E17690">
      <w:pPr>
        <w:pStyle w:val="01BodyNoIndentGeorgiaJustify"/>
        <w:suppressAutoHyphens/>
        <w:rPr>
          <w:rStyle w:val="01GraphikboldICB"/>
          <w:rFonts w:asciiTheme="minorHAnsi" w:hAnsiTheme="minorHAnsi" w:cstheme="minorHAnsi"/>
          <w:w w:val="101"/>
          <w:sz w:val="22"/>
          <w:szCs w:val="22"/>
        </w:rPr>
      </w:pPr>
      <w:r w:rsidRPr="00095353">
        <w:rPr>
          <w:rStyle w:val="01GraphikboldICB"/>
          <w:rFonts w:asciiTheme="minorHAnsi" w:hAnsiTheme="minorHAnsi" w:cstheme="minorHAnsi"/>
          <w:w w:val="101"/>
          <w:sz w:val="22"/>
          <w:szCs w:val="22"/>
        </w:rPr>
        <w:t>Independent Banker</w:t>
      </w:r>
    </w:p>
    <w:p w14:paraId="6BE31E48" w14:textId="436CCDFA" w:rsidR="00E17690" w:rsidRPr="00095353" w:rsidRDefault="00FF1F90"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November</w:t>
      </w:r>
      <w:r w:rsidR="007A4539">
        <w:rPr>
          <w:rStyle w:val="01GraphikboldICB"/>
          <w:rFonts w:asciiTheme="minorHAnsi" w:hAnsiTheme="minorHAnsi" w:cstheme="minorHAnsi"/>
          <w:w w:val="101"/>
          <w:sz w:val="22"/>
          <w:szCs w:val="22"/>
        </w:rPr>
        <w:t xml:space="preserve"> </w:t>
      </w:r>
      <w:r w:rsidR="00B803D5">
        <w:rPr>
          <w:rStyle w:val="01GraphikboldICB"/>
          <w:rFonts w:asciiTheme="minorHAnsi" w:hAnsiTheme="minorHAnsi" w:cstheme="minorHAnsi"/>
          <w:w w:val="101"/>
          <w:sz w:val="22"/>
          <w:szCs w:val="22"/>
        </w:rPr>
        <w:t>2020</w:t>
      </w:r>
    </w:p>
    <w:p w14:paraId="73590021" w14:textId="7CA55FB1" w:rsidR="00536E0E" w:rsidRPr="00095353" w:rsidRDefault="004C4CBF"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 xml:space="preserve">Leadership at all </w:t>
      </w:r>
      <w:r w:rsidR="00177D9A">
        <w:rPr>
          <w:rStyle w:val="01GraphikboldICB"/>
          <w:rFonts w:asciiTheme="minorHAnsi" w:hAnsiTheme="minorHAnsi" w:cstheme="minorHAnsi"/>
          <w:w w:val="101"/>
          <w:sz w:val="22"/>
          <w:szCs w:val="22"/>
        </w:rPr>
        <w:t>L</w:t>
      </w:r>
      <w:r>
        <w:rPr>
          <w:rStyle w:val="01GraphikboldICB"/>
          <w:rFonts w:asciiTheme="minorHAnsi" w:hAnsiTheme="minorHAnsi" w:cstheme="minorHAnsi"/>
          <w:w w:val="101"/>
          <w:sz w:val="22"/>
          <w:szCs w:val="22"/>
        </w:rPr>
        <w:t xml:space="preserve">evels: Lindsay </w:t>
      </w:r>
      <w:proofErr w:type="spellStart"/>
      <w:r>
        <w:rPr>
          <w:rStyle w:val="01GraphikboldICB"/>
          <w:rFonts w:asciiTheme="minorHAnsi" w:hAnsiTheme="minorHAnsi" w:cstheme="minorHAnsi"/>
          <w:w w:val="101"/>
          <w:sz w:val="22"/>
          <w:szCs w:val="22"/>
        </w:rPr>
        <w:t>LaNore</w:t>
      </w:r>
      <w:proofErr w:type="spellEnd"/>
    </w:p>
    <w:p w14:paraId="67A33DD5" w14:textId="77777777" w:rsidR="00B803D5" w:rsidRDefault="00B803D5" w:rsidP="004C4CBF">
      <w:pPr>
        <w:pStyle w:val="01BodyNoIndentGeorgiaJustify"/>
        <w:rPr>
          <w:rFonts w:asciiTheme="minorHAnsi" w:hAnsiTheme="minorHAnsi" w:cstheme="minorHAnsi"/>
          <w:b/>
          <w:bCs/>
          <w:w w:val="101"/>
          <w:sz w:val="22"/>
          <w:szCs w:val="22"/>
        </w:rPr>
      </w:pPr>
    </w:p>
    <w:p w14:paraId="56C52866" w14:textId="35BDB45E" w:rsidR="007A4539" w:rsidRPr="007A4539" w:rsidRDefault="00FF1F90" w:rsidP="007A4539">
      <w:pPr>
        <w:rPr>
          <w:rFonts w:cstheme="minorHAnsi"/>
          <w:b/>
          <w:bCs/>
          <w:color w:val="000000"/>
          <w:w w:val="101"/>
          <w:sz w:val="22"/>
          <w:szCs w:val="22"/>
        </w:rPr>
      </w:pPr>
      <w:r>
        <w:rPr>
          <w:rFonts w:cstheme="minorHAnsi"/>
          <w:b/>
          <w:bCs/>
          <w:color w:val="000000"/>
          <w:w w:val="101"/>
          <w:sz w:val="22"/>
          <w:szCs w:val="22"/>
        </w:rPr>
        <w:t>Making connections</w:t>
      </w:r>
    </w:p>
    <w:p w14:paraId="3D645880" w14:textId="77777777" w:rsidR="004B6E9A" w:rsidRDefault="004B6E9A" w:rsidP="004B6E9A">
      <w:pPr>
        <w:rPr>
          <w:rFonts w:cstheme="minorHAnsi"/>
          <w:color w:val="000000"/>
          <w:w w:val="101"/>
          <w:sz w:val="22"/>
          <w:szCs w:val="22"/>
        </w:rPr>
      </w:pPr>
    </w:p>
    <w:p w14:paraId="4C23BD9E" w14:textId="73201717" w:rsidR="00FF1F90" w:rsidRPr="00FF1F90" w:rsidRDefault="00FF1F90" w:rsidP="00FF1F90">
      <w:pPr>
        <w:rPr>
          <w:rFonts w:cstheme="minorHAnsi"/>
          <w:color w:val="000000"/>
          <w:w w:val="101"/>
          <w:sz w:val="21"/>
          <w:szCs w:val="21"/>
        </w:rPr>
      </w:pPr>
      <w:r w:rsidRPr="00FF1F90">
        <w:rPr>
          <w:rFonts w:cstheme="minorHAnsi"/>
          <w:color w:val="000000"/>
          <w:w w:val="101"/>
          <w:sz w:val="21"/>
          <w:szCs w:val="21"/>
        </w:rPr>
        <w:t>L</w:t>
      </w:r>
      <w:r w:rsidRPr="00FF1F90">
        <w:rPr>
          <w:rFonts w:cstheme="minorHAnsi"/>
          <w:color w:val="000000"/>
          <w:w w:val="101"/>
          <w:sz w:val="21"/>
          <w:szCs w:val="21"/>
        </w:rPr>
        <w:t>ike all of us, Ron Brooks is the sum of his parts. The vice president of the Senior Housing Crime Prevention Foundation’s Midwest region speaks of many mentors who have contributed to his professional growth. He offers great advice that I’d like to share.</w:t>
      </w:r>
    </w:p>
    <w:p w14:paraId="122E33FD" w14:textId="77777777" w:rsidR="00FF1F90" w:rsidRPr="00FF1F90" w:rsidRDefault="00FF1F90" w:rsidP="00FF1F90">
      <w:pPr>
        <w:rPr>
          <w:rFonts w:cstheme="minorHAnsi"/>
          <w:color w:val="000000"/>
          <w:w w:val="101"/>
          <w:sz w:val="21"/>
          <w:szCs w:val="21"/>
        </w:rPr>
      </w:pPr>
      <w:r w:rsidRPr="00FF1F90">
        <w:rPr>
          <w:rFonts w:cstheme="minorHAnsi"/>
          <w:color w:val="000000"/>
          <w:w w:val="101"/>
          <w:sz w:val="21"/>
          <w:szCs w:val="21"/>
        </w:rPr>
        <w:t xml:space="preserve">For Ron, it all started with his college basketball coach, who taught him to learn to be quick, not fast. “When he told me that, I thought he was crazy,” he laughs. “It wasn’t about seeing how fast I could get a basket. It was about surveying the floor, letting my teammates catch up and seeing what the defense is doing.” In short, fast is reckless, quick is decisive. </w:t>
      </w:r>
    </w:p>
    <w:p w14:paraId="118D1F5E" w14:textId="77777777" w:rsidR="00FF1F90" w:rsidRPr="00FF1F90" w:rsidRDefault="00FF1F90" w:rsidP="00FF1F90">
      <w:pPr>
        <w:rPr>
          <w:rFonts w:cstheme="minorHAnsi"/>
          <w:color w:val="000000"/>
          <w:w w:val="101"/>
          <w:sz w:val="21"/>
          <w:szCs w:val="21"/>
        </w:rPr>
      </w:pPr>
      <w:r w:rsidRPr="00FF1F90">
        <w:rPr>
          <w:rFonts w:cstheme="minorHAnsi"/>
          <w:color w:val="000000"/>
          <w:w w:val="101"/>
          <w:sz w:val="21"/>
          <w:szCs w:val="21"/>
        </w:rPr>
        <w:t xml:space="preserve">In 2002, Theresa </w:t>
      </w:r>
      <w:proofErr w:type="spellStart"/>
      <w:r w:rsidRPr="00FF1F90">
        <w:rPr>
          <w:rFonts w:cstheme="minorHAnsi"/>
          <w:color w:val="000000"/>
          <w:w w:val="101"/>
          <w:sz w:val="21"/>
          <w:szCs w:val="21"/>
        </w:rPr>
        <w:t>Vowell</w:t>
      </w:r>
      <w:proofErr w:type="spellEnd"/>
      <w:r w:rsidRPr="00FF1F90">
        <w:rPr>
          <w:rFonts w:cstheme="minorHAnsi"/>
          <w:color w:val="000000"/>
          <w:w w:val="101"/>
          <w:sz w:val="21"/>
          <w:szCs w:val="21"/>
        </w:rPr>
        <w:t xml:space="preserve">, who worked at a large regional bank, gave him an opportunity as a floating teller. When he graduated college a year later, he joined a management trainee program and was assigned a mentor. “One of [my mentor’s] mottos </w:t>
      </w:r>
      <w:proofErr w:type="gramStart"/>
      <w:r w:rsidRPr="00FF1F90">
        <w:rPr>
          <w:rFonts w:cstheme="minorHAnsi"/>
          <w:color w:val="000000"/>
          <w:w w:val="101"/>
          <w:sz w:val="21"/>
          <w:szCs w:val="21"/>
        </w:rPr>
        <w:t>was</w:t>
      </w:r>
      <w:proofErr w:type="gramEnd"/>
      <w:r w:rsidRPr="00FF1F90">
        <w:rPr>
          <w:rFonts w:cstheme="minorHAnsi"/>
          <w:color w:val="000000"/>
          <w:w w:val="101"/>
          <w:sz w:val="21"/>
          <w:szCs w:val="21"/>
        </w:rPr>
        <w:t xml:space="preserve"> ‘Change the people or change the people,’” Ron says. “Think of what that means. You train and develop people, give them the tools. If they don’t accept the tools, you change them out.” That type of mentality, where his mentor looked at people as requisition numbers versus human beings, resulted in high turnover. It wasn’t something that gelled with Ron. Sometimes, he thought, mentorship teaches you who you </w:t>
      </w:r>
      <w:r w:rsidRPr="00FF1F90">
        <w:rPr>
          <w:rFonts w:cstheme="minorHAnsi"/>
          <w:i/>
          <w:iCs/>
          <w:color w:val="000000"/>
          <w:w w:val="101"/>
          <w:sz w:val="21"/>
          <w:szCs w:val="21"/>
        </w:rPr>
        <w:t>don’t</w:t>
      </w:r>
      <w:r w:rsidRPr="00FF1F90">
        <w:rPr>
          <w:rFonts w:cstheme="minorHAnsi"/>
          <w:color w:val="000000"/>
          <w:w w:val="101"/>
          <w:sz w:val="21"/>
          <w:szCs w:val="21"/>
        </w:rPr>
        <w:t xml:space="preserve"> want to be.</w:t>
      </w:r>
    </w:p>
    <w:p w14:paraId="6DF9244D" w14:textId="77777777" w:rsidR="00FF1F90" w:rsidRPr="00FF1F90" w:rsidRDefault="00FF1F90" w:rsidP="00FF1F90">
      <w:pPr>
        <w:rPr>
          <w:rFonts w:cstheme="minorHAnsi"/>
          <w:color w:val="000000"/>
          <w:w w:val="101"/>
          <w:sz w:val="21"/>
          <w:szCs w:val="21"/>
        </w:rPr>
      </w:pPr>
      <w:r w:rsidRPr="00FF1F90">
        <w:rPr>
          <w:rFonts w:cstheme="minorHAnsi"/>
          <w:color w:val="000000"/>
          <w:w w:val="101"/>
          <w:sz w:val="21"/>
          <w:szCs w:val="21"/>
        </w:rPr>
        <w:t xml:space="preserve">A year into the job, he asked </w:t>
      </w:r>
      <w:proofErr w:type="spellStart"/>
      <w:r w:rsidRPr="00FF1F90">
        <w:rPr>
          <w:rFonts w:cstheme="minorHAnsi"/>
          <w:color w:val="000000"/>
          <w:w w:val="101"/>
          <w:sz w:val="21"/>
          <w:szCs w:val="21"/>
        </w:rPr>
        <w:t>Vowell</w:t>
      </w:r>
      <w:proofErr w:type="spellEnd"/>
      <w:r w:rsidRPr="00FF1F90">
        <w:rPr>
          <w:rFonts w:cstheme="minorHAnsi"/>
          <w:color w:val="000000"/>
          <w:w w:val="101"/>
          <w:sz w:val="21"/>
          <w:szCs w:val="21"/>
        </w:rPr>
        <w:t xml:space="preserve"> about an opportunity to manage a new branch in downtown Memphis, Tenn. She told him he wasn’t ready and put him in the hands of a veteran mentor. In this way, Ron learned the importance of rising through the ranks, rather than aiming straight for the top, and of thinking about what you want to do, not just what title you want to have.</w:t>
      </w:r>
    </w:p>
    <w:p w14:paraId="09F27EEF" w14:textId="77777777" w:rsidR="00FF1F90" w:rsidRPr="00FF1F90" w:rsidRDefault="00FF1F90" w:rsidP="00FF1F90">
      <w:pPr>
        <w:rPr>
          <w:rFonts w:cstheme="minorHAnsi"/>
          <w:color w:val="000000"/>
          <w:w w:val="101"/>
          <w:sz w:val="21"/>
          <w:szCs w:val="21"/>
        </w:rPr>
      </w:pPr>
      <w:r w:rsidRPr="00FF1F90">
        <w:rPr>
          <w:rFonts w:cstheme="minorHAnsi"/>
          <w:color w:val="000000"/>
          <w:w w:val="101"/>
          <w:sz w:val="21"/>
          <w:szCs w:val="21"/>
        </w:rPr>
        <w:t xml:space="preserve">Ron’s mentors taught him that he wanted to be a connector, someone who brings people of all shapes, sizes and backgrounds together. He encourages mentees to take an active role in their professional development. Your mentors are where you’re trying to get to, so push for that. Only one of his mentors looked like him, and as Ron says, “That was a good thing. Diversity is important.” Be aware of those who influence you. Be around people who model the kind of behavior you like. </w:t>
      </w:r>
    </w:p>
    <w:p w14:paraId="36FC4C19" w14:textId="77777777" w:rsidR="00FF1F90" w:rsidRPr="00FF1F90" w:rsidRDefault="00FF1F90" w:rsidP="00FF1F90">
      <w:pPr>
        <w:rPr>
          <w:rFonts w:cstheme="minorHAnsi"/>
          <w:color w:val="000000"/>
          <w:w w:val="101"/>
          <w:sz w:val="21"/>
          <w:szCs w:val="21"/>
        </w:rPr>
      </w:pPr>
      <w:r w:rsidRPr="00FF1F90">
        <w:rPr>
          <w:rFonts w:cstheme="minorHAnsi"/>
          <w:color w:val="000000"/>
          <w:w w:val="101"/>
          <w:sz w:val="21"/>
          <w:szCs w:val="21"/>
        </w:rPr>
        <w:t xml:space="preserve">To steal from basketball, this means playing the offense. “You can’t sit and say, ‘Please mentor me,’ or write it on your forehead,” he says. “Seek out your </w:t>
      </w:r>
      <w:proofErr w:type="gramStart"/>
      <w:r w:rsidRPr="00FF1F90">
        <w:rPr>
          <w:rFonts w:cstheme="minorHAnsi"/>
          <w:color w:val="000000"/>
          <w:w w:val="101"/>
          <w:sz w:val="21"/>
          <w:szCs w:val="21"/>
        </w:rPr>
        <w:t>mentor, and</w:t>
      </w:r>
      <w:proofErr w:type="gramEnd"/>
      <w:r w:rsidRPr="00FF1F90">
        <w:rPr>
          <w:rFonts w:cstheme="minorHAnsi"/>
          <w:color w:val="000000"/>
          <w:w w:val="101"/>
          <w:sz w:val="21"/>
          <w:szCs w:val="21"/>
        </w:rPr>
        <w:t xml:space="preserve"> remember it’s a bi-directional relationship.” In other words, bring something to the table to make that relationship symbiotic. </w:t>
      </w:r>
    </w:p>
    <w:p w14:paraId="08003A8B" w14:textId="1F9C340B" w:rsidR="00FF1F90" w:rsidRDefault="00FF1F90" w:rsidP="00FF1F90">
      <w:pPr>
        <w:rPr>
          <w:rFonts w:cstheme="minorHAnsi"/>
          <w:color w:val="000000"/>
          <w:w w:val="101"/>
          <w:sz w:val="21"/>
          <w:szCs w:val="21"/>
        </w:rPr>
      </w:pPr>
      <w:r w:rsidRPr="00FF1F90">
        <w:rPr>
          <w:rFonts w:cstheme="minorHAnsi"/>
          <w:color w:val="000000"/>
          <w:w w:val="101"/>
          <w:sz w:val="21"/>
          <w:szCs w:val="21"/>
        </w:rPr>
        <w:t xml:space="preserve">No formal mentoring program is required. The desire to support, encourage and believe in another can make a real difference. And the end game is a win for all involved: the mentee, mentor, bank and industry. </w:t>
      </w:r>
    </w:p>
    <w:p w14:paraId="46854916" w14:textId="0251A896" w:rsidR="00FF1F90" w:rsidRDefault="00FF1F90" w:rsidP="00FF1F90">
      <w:pPr>
        <w:rPr>
          <w:rFonts w:cstheme="minorHAnsi"/>
          <w:color w:val="000000"/>
          <w:w w:val="101"/>
          <w:sz w:val="21"/>
          <w:szCs w:val="21"/>
        </w:rPr>
      </w:pPr>
    </w:p>
    <w:p w14:paraId="11BD42EF" w14:textId="2FA4F204" w:rsidR="00FF1F90" w:rsidRPr="00FF1F90" w:rsidRDefault="00FF1F90" w:rsidP="00FF1F90">
      <w:pPr>
        <w:rPr>
          <w:rFonts w:cstheme="minorHAnsi"/>
          <w:i/>
          <w:iCs/>
          <w:color w:val="000000"/>
          <w:w w:val="101"/>
          <w:sz w:val="21"/>
          <w:szCs w:val="21"/>
        </w:rPr>
      </w:pPr>
      <w:r w:rsidRPr="00FF1F90">
        <w:rPr>
          <w:rFonts w:cstheme="minorHAnsi"/>
          <w:color w:val="000000"/>
          <w:w w:val="101"/>
          <w:sz w:val="21"/>
          <w:szCs w:val="21"/>
        </w:rPr>
        <w:t xml:space="preserve">CRA Partners/The Senior Housing Crime Prevention Foundation is a wholly owned subsidiary of ICBA that helps community banks earn turnkey Community Reinvestment Act exam credit with programs tailored to protecting seniors from abuse and financial exploitation. Reach Brooks at 901-529-4790 or </w:t>
      </w:r>
      <w:r w:rsidRPr="00FF1F90">
        <w:rPr>
          <w:rFonts w:cstheme="minorHAnsi"/>
          <w:i/>
          <w:iCs/>
          <w:color w:val="000000"/>
          <w:w w:val="101"/>
          <w:sz w:val="21"/>
          <w:szCs w:val="21"/>
        </w:rPr>
        <w:t>ron.brooks@shcpfoundation.org</w:t>
      </w:r>
    </w:p>
    <w:p w14:paraId="3AF7446F" w14:textId="77777777" w:rsidR="00177D9A" w:rsidRDefault="00177D9A" w:rsidP="004C4CBF">
      <w:pPr>
        <w:rPr>
          <w:rFonts w:cstheme="minorHAnsi"/>
          <w:sz w:val="18"/>
          <w:szCs w:val="18"/>
        </w:rPr>
      </w:pPr>
    </w:p>
    <w:p w14:paraId="18652D8C" w14:textId="3122D042" w:rsidR="004C4CBF" w:rsidRPr="004C4CBF" w:rsidRDefault="004C4CBF" w:rsidP="004C4CBF">
      <w:pPr>
        <w:rPr>
          <w:rFonts w:cstheme="minorHAnsi"/>
          <w:sz w:val="18"/>
          <w:szCs w:val="18"/>
        </w:rPr>
      </w:pPr>
      <w:r w:rsidRPr="004C4CBF">
        <w:rPr>
          <w:rFonts w:cstheme="minorHAnsi"/>
          <w:sz w:val="18"/>
          <w:szCs w:val="18"/>
        </w:rPr>
        <w:t xml:space="preserve">Lindsay </w:t>
      </w:r>
      <w:proofErr w:type="spellStart"/>
      <w:r w:rsidRPr="004C4CBF">
        <w:rPr>
          <w:rFonts w:cstheme="minorHAnsi"/>
          <w:sz w:val="18"/>
          <w:szCs w:val="18"/>
        </w:rPr>
        <w:t>LaNore</w:t>
      </w:r>
      <w:proofErr w:type="spellEnd"/>
      <w:r w:rsidRPr="004C4CBF">
        <w:rPr>
          <w:rFonts w:cstheme="minorHAnsi"/>
          <w:sz w:val="18"/>
          <w:szCs w:val="18"/>
        </w:rPr>
        <w:t xml:space="preserve"> (</w:t>
      </w:r>
      <w:r w:rsidRPr="004C4CBF">
        <w:rPr>
          <w:rFonts w:cstheme="minorHAnsi"/>
          <w:i/>
          <w:iCs/>
          <w:sz w:val="18"/>
          <w:szCs w:val="18"/>
        </w:rPr>
        <w:t>lindsay.lanore@icba.org</w:t>
      </w:r>
      <w:r w:rsidRPr="004C4CBF">
        <w:rPr>
          <w:rFonts w:cstheme="minorHAnsi"/>
          <w:sz w:val="18"/>
          <w:szCs w:val="18"/>
        </w:rPr>
        <w:t>) is group executive vice president of Community Banker University</w:t>
      </w:r>
    </w:p>
    <w:p w14:paraId="43B081BE" w14:textId="4885CE2D" w:rsidR="00884F4E" w:rsidRDefault="00884F4E" w:rsidP="00095353">
      <w:pPr>
        <w:rPr>
          <w:rFonts w:cstheme="minorHAnsi"/>
          <w:sz w:val="22"/>
          <w:szCs w:val="22"/>
        </w:rPr>
      </w:pPr>
    </w:p>
    <w:p w14:paraId="50436B30" w14:textId="77777777" w:rsidR="004B6E9A" w:rsidRPr="00095353" w:rsidRDefault="004B6E9A" w:rsidP="00095353">
      <w:pPr>
        <w:rPr>
          <w:rFonts w:cstheme="minorHAnsi"/>
          <w:sz w:val="22"/>
          <w:szCs w:val="22"/>
        </w:rPr>
      </w:pPr>
    </w:p>
    <w:sectPr w:rsidR="004B6E9A" w:rsidRPr="00095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Georgia Pro">
    <w:panose1 w:val="02040502050405020303"/>
    <w:charset w:val="00"/>
    <w:family w:val="roman"/>
    <w:notTrueType/>
    <w:pitch w:val="variable"/>
    <w:sig w:usb0="80000287" w:usb1="00000043" w:usb2="00000000" w:usb3="00000000" w:csb0="0000009F" w:csb1="00000000"/>
  </w:font>
  <w:font w:name="Graphik Bold">
    <w:panose1 w:val="020B0803030202060203"/>
    <w:charset w:val="00"/>
    <w:family w:val="swiss"/>
    <w:notTrueType/>
    <w:pitch w:val="variable"/>
    <w:sig w:usb0="A000002F" w:usb1="4000045A" w:usb2="00000000" w:usb3="00000000" w:csb0="00000093" w:csb1="00000000"/>
  </w:font>
  <w:font w:name="Graphik Semibold">
    <w:panose1 w:val="020B0703030202060203"/>
    <w:charset w:val="00"/>
    <w:family w:val="swiss"/>
    <w:pitch w:val="variable"/>
    <w:sig w:usb0="A000002F" w:usb1="4000045A" w:usb2="00000000" w:usb3="00000000" w:csb0="00000093" w:csb1="00000000"/>
  </w:font>
  <w:font w:name="Graphik Regular">
    <w:panose1 w:val="020B0503030202060203"/>
    <w:charset w:val="00"/>
    <w:family w:val="swiss"/>
    <w:notTrueType/>
    <w:pitch w:val="variable"/>
    <w:sig w:usb0="A000002F" w:usb1="4000045A" w:usb2="00000000" w:usb3="00000000" w:csb0="00000093" w:csb1="00000000"/>
  </w:font>
  <w:font w:name="Graphik Cond Regular">
    <w:panose1 w:val="01000302020000010002"/>
    <w:charset w:val="00"/>
    <w:family w:val="auto"/>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E5B6A"/>
    <w:multiLevelType w:val="hybridMultilevel"/>
    <w:tmpl w:val="88F6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C4565"/>
    <w:multiLevelType w:val="hybridMultilevel"/>
    <w:tmpl w:val="DD0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D13F94"/>
    <w:multiLevelType w:val="hybridMultilevel"/>
    <w:tmpl w:val="9D0C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8704D4"/>
    <w:multiLevelType w:val="hybridMultilevel"/>
    <w:tmpl w:val="CB3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27AFF"/>
    <w:rsid w:val="00034747"/>
    <w:rsid w:val="000375B9"/>
    <w:rsid w:val="00095353"/>
    <w:rsid w:val="000B5FE1"/>
    <w:rsid w:val="000D658E"/>
    <w:rsid w:val="000F242E"/>
    <w:rsid w:val="00130660"/>
    <w:rsid w:val="00132BFF"/>
    <w:rsid w:val="00140489"/>
    <w:rsid w:val="0015379F"/>
    <w:rsid w:val="00153FAB"/>
    <w:rsid w:val="0017240B"/>
    <w:rsid w:val="00176291"/>
    <w:rsid w:val="00177D9A"/>
    <w:rsid w:val="001A6971"/>
    <w:rsid w:val="001D5E4C"/>
    <w:rsid w:val="001F5360"/>
    <w:rsid w:val="001F5EFE"/>
    <w:rsid w:val="002608A7"/>
    <w:rsid w:val="002706D7"/>
    <w:rsid w:val="002716C0"/>
    <w:rsid w:val="002823CD"/>
    <w:rsid w:val="002D2A34"/>
    <w:rsid w:val="002D55DF"/>
    <w:rsid w:val="002E587F"/>
    <w:rsid w:val="00300468"/>
    <w:rsid w:val="003407EF"/>
    <w:rsid w:val="00353E51"/>
    <w:rsid w:val="003622B6"/>
    <w:rsid w:val="0038568A"/>
    <w:rsid w:val="003C2571"/>
    <w:rsid w:val="003D0EE6"/>
    <w:rsid w:val="003E1FD0"/>
    <w:rsid w:val="004074DC"/>
    <w:rsid w:val="004330BC"/>
    <w:rsid w:val="00477671"/>
    <w:rsid w:val="004B6E9A"/>
    <w:rsid w:val="004C4CBF"/>
    <w:rsid w:val="004C5086"/>
    <w:rsid w:val="004E165B"/>
    <w:rsid w:val="004F3978"/>
    <w:rsid w:val="00535254"/>
    <w:rsid w:val="00536E0E"/>
    <w:rsid w:val="005973AA"/>
    <w:rsid w:val="005B610A"/>
    <w:rsid w:val="005D2006"/>
    <w:rsid w:val="006035A8"/>
    <w:rsid w:val="0064480D"/>
    <w:rsid w:val="00651958"/>
    <w:rsid w:val="00663F6F"/>
    <w:rsid w:val="00666F7A"/>
    <w:rsid w:val="006A22D0"/>
    <w:rsid w:val="00704F41"/>
    <w:rsid w:val="0072266E"/>
    <w:rsid w:val="00727FE6"/>
    <w:rsid w:val="00744CB1"/>
    <w:rsid w:val="00753434"/>
    <w:rsid w:val="00764BC9"/>
    <w:rsid w:val="00791534"/>
    <w:rsid w:val="007A4539"/>
    <w:rsid w:val="007C4FF2"/>
    <w:rsid w:val="007D78BA"/>
    <w:rsid w:val="007E5D96"/>
    <w:rsid w:val="007F1B4C"/>
    <w:rsid w:val="007F4D7B"/>
    <w:rsid w:val="0081697B"/>
    <w:rsid w:val="00834AF4"/>
    <w:rsid w:val="00856102"/>
    <w:rsid w:val="008575E5"/>
    <w:rsid w:val="0086020A"/>
    <w:rsid w:val="00884F4E"/>
    <w:rsid w:val="008A71D4"/>
    <w:rsid w:val="008B0ACD"/>
    <w:rsid w:val="008E7011"/>
    <w:rsid w:val="00903E5F"/>
    <w:rsid w:val="00923EF3"/>
    <w:rsid w:val="009423B8"/>
    <w:rsid w:val="00970829"/>
    <w:rsid w:val="009846CB"/>
    <w:rsid w:val="009A0727"/>
    <w:rsid w:val="009B1413"/>
    <w:rsid w:val="009B4B9C"/>
    <w:rsid w:val="009B6048"/>
    <w:rsid w:val="009B7DEE"/>
    <w:rsid w:val="00A14857"/>
    <w:rsid w:val="00A71DA3"/>
    <w:rsid w:val="00AC3E4B"/>
    <w:rsid w:val="00AF116A"/>
    <w:rsid w:val="00B027CD"/>
    <w:rsid w:val="00B049CD"/>
    <w:rsid w:val="00B06BE3"/>
    <w:rsid w:val="00B45788"/>
    <w:rsid w:val="00B55F4B"/>
    <w:rsid w:val="00B5668F"/>
    <w:rsid w:val="00B6436E"/>
    <w:rsid w:val="00B803D5"/>
    <w:rsid w:val="00B90EEE"/>
    <w:rsid w:val="00B959A6"/>
    <w:rsid w:val="00BA0ABF"/>
    <w:rsid w:val="00BD0BFB"/>
    <w:rsid w:val="00BD7ABD"/>
    <w:rsid w:val="00C2729E"/>
    <w:rsid w:val="00C53367"/>
    <w:rsid w:val="00C60B8B"/>
    <w:rsid w:val="00C6147B"/>
    <w:rsid w:val="00C65EA9"/>
    <w:rsid w:val="00C848EA"/>
    <w:rsid w:val="00CA1BF9"/>
    <w:rsid w:val="00CB038F"/>
    <w:rsid w:val="00CB5476"/>
    <w:rsid w:val="00CE381B"/>
    <w:rsid w:val="00CE414D"/>
    <w:rsid w:val="00CE47AF"/>
    <w:rsid w:val="00CF7C6C"/>
    <w:rsid w:val="00D24124"/>
    <w:rsid w:val="00D26C78"/>
    <w:rsid w:val="00D32813"/>
    <w:rsid w:val="00D47420"/>
    <w:rsid w:val="00D65D89"/>
    <w:rsid w:val="00D66E14"/>
    <w:rsid w:val="00D82EA6"/>
    <w:rsid w:val="00D877EC"/>
    <w:rsid w:val="00DC11CD"/>
    <w:rsid w:val="00DE1C41"/>
    <w:rsid w:val="00E02813"/>
    <w:rsid w:val="00E143F6"/>
    <w:rsid w:val="00E17690"/>
    <w:rsid w:val="00E41B1E"/>
    <w:rsid w:val="00E431CA"/>
    <w:rsid w:val="00E636DF"/>
    <w:rsid w:val="00F257B8"/>
    <w:rsid w:val="00F41F3E"/>
    <w:rsid w:val="00F448EC"/>
    <w:rsid w:val="00F63903"/>
    <w:rsid w:val="00F71159"/>
    <w:rsid w:val="00F74743"/>
    <w:rsid w:val="00FF1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 w:type="paragraph" w:styleId="ListParagraph">
    <w:name w:val="List Paragraph"/>
    <w:basedOn w:val="Normal"/>
    <w:uiPriority w:val="34"/>
    <w:qFormat/>
    <w:rsid w:val="00C6147B"/>
    <w:pPr>
      <w:ind w:left="720"/>
      <w:contextualSpacing/>
    </w:pPr>
  </w:style>
  <w:style w:type="paragraph" w:customStyle="1" w:styleId="01BodyIndentGeorgiaJustify">
    <w:name w:val="01.Body.Indent.Georgia.Justify"/>
    <w:basedOn w:val="Normal"/>
    <w:uiPriority w:val="99"/>
    <w:rsid w:val="00095353"/>
    <w:pPr>
      <w:autoSpaceDE w:val="0"/>
      <w:autoSpaceDN w:val="0"/>
      <w:adjustRightInd w:val="0"/>
      <w:spacing w:line="240" w:lineRule="atLeast"/>
      <w:ind w:firstLine="180"/>
      <w:jc w:val="both"/>
      <w:textAlignment w:val="center"/>
    </w:pPr>
    <w:rPr>
      <w:rFonts w:ascii="Georgia Pro" w:hAnsi="Georgia Pro" w:cs="Georgia Pro"/>
      <w:color w:val="000000"/>
      <w:sz w:val="18"/>
      <w:szCs w:val="18"/>
    </w:rPr>
  </w:style>
  <w:style w:type="paragraph" w:customStyle="1" w:styleId="01BodyNoIndentGeorgiaJustifyDrop">
    <w:name w:val="01.Body.NoIndent.Georgia.Justify Drop"/>
    <w:basedOn w:val="Normal"/>
    <w:uiPriority w:val="99"/>
    <w:rsid w:val="00095353"/>
    <w:pPr>
      <w:autoSpaceDE w:val="0"/>
      <w:autoSpaceDN w:val="0"/>
      <w:adjustRightInd w:val="0"/>
      <w:spacing w:line="240" w:lineRule="atLeast"/>
      <w:jc w:val="both"/>
      <w:textAlignment w:val="center"/>
    </w:pPr>
    <w:rPr>
      <w:rFonts w:ascii="Georgia Pro" w:hAnsi="Georgia Pro" w:cs="Georgia Pro"/>
      <w:color w:val="000000"/>
      <w:sz w:val="18"/>
      <w:szCs w:val="18"/>
    </w:rPr>
  </w:style>
  <w:style w:type="character" w:customStyle="1" w:styleId="01Graphikbold">
    <w:name w:val="01.Graphik.bold"/>
    <w:uiPriority w:val="99"/>
    <w:rsid w:val="00095353"/>
    <w:rPr>
      <w:rFonts w:ascii="Graphik Bold" w:hAnsi="Graphik Bold" w:cs="Graphik Bold"/>
      <w:b/>
      <w:bCs/>
      <w:u w:val="none"/>
      <w:vertAlign w:val="baseline"/>
    </w:rPr>
  </w:style>
  <w:style w:type="paragraph" w:customStyle="1" w:styleId="03DekGraphikSemibold">
    <w:name w:val="03.Dek.GraphikSemibold"/>
    <w:basedOn w:val="Normal"/>
    <w:uiPriority w:val="99"/>
    <w:rsid w:val="00095353"/>
    <w:pPr>
      <w:suppressAutoHyphens/>
      <w:autoSpaceDE w:val="0"/>
      <w:autoSpaceDN w:val="0"/>
      <w:adjustRightInd w:val="0"/>
      <w:spacing w:line="240" w:lineRule="atLeast"/>
      <w:jc w:val="both"/>
      <w:textAlignment w:val="center"/>
    </w:pPr>
    <w:rPr>
      <w:rFonts w:ascii="Graphik Semibold" w:hAnsi="Graphik Semibold" w:cs="Graphik Semibold"/>
      <w:color w:val="000000"/>
      <w:sz w:val="18"/>
      <w:szCs w:val="18"/>
    </w:rPr>
  </w:style>
  <w:style w:type="character" w:customStyle="1" w:styleId="03DekTeal">
    <w:name w:val="03.Dek.Teal"/>
    <w:uiPriority w:val="99"/>
    <w:rsid w:val="00095353"/>
    <w:rPr>
      <w:color w:val="42B5C9"/>
    </w:rPr>
  </w:style>
  <w:style w:type="paragraph" w:customStyle="1" w:styleId="03sidebarGraphikRegNoIndentsidebar">
    <w:name w:val="03.sidebar.GraphikReg.NoIndent (sidebar)"/>
    <w:basedOn w:val="Normal"/>
    <w:uiPriority w:val="99"/>
    <w:rsid w:val="00095353"/>
    <w:pPr>
      <w:suppressAutoHyphens/>
      <w:autoSpaceDE w:val="0"/>
      <w:autoSpaceDN w:val="0"/>
      <w:adjustRightInd w:val="0"/>
      <w:spacing w:line="240" w:lineRule="atLeast"/>
      <w:textAlignment w:val="center"/>
    </w:pPr>
    <w:rPr>
      <w:rFonts w:ascii="Graphik Regular" w:hAnsi="Graphik Regular" w:cs="Graphik Regular"/>
      <w:color w:val="000000"/>
      <w:sz w:val="18"/>
      <w:szCs w:val="18"/>
    </w:rPr>
  </w:style>
  <w:style w:type="character" w:customStyle="1" w:styleId="01Graphikbolditalic">
    <w:name w:val="01.Graphik.bold.italic"/>
    <w:uiPriority w:val="99"/>
    <w:rsid w:val="00095353"/>
    <w:rPr>
      <w:rFonts w:ascii="Graphik Bold" w:hAnsi="Graphik Bold" w:cs="Graphik Bold"/>
      <w:b/>
      <w:bCs/>
      <w:i/>
      <w:iCs/>
      <w:u w:val="none"/>
      <w:vertAlign w:val="baseline"/>
    </w:rPr>
  </w:style>
  <w:style w:type="paragraph" w:customStyle="1" w:styleId="03sidebarheadGraphikBoldNoIndent12">
    <w:name w:val="03.sidebar.head.GraphikBold.NoIndent.12"/>
    <w:basedOn w:val="Normal"/>
    <w:uiPriority w:val="99"/>
    <w:rsid w:val="00884F4E"/>
    <w:pPr>
      <w:autoSpaceDE w:val="0"/>
      <w:autoSpaceDN w:val="0"/>
      <w:adjustRightInd w:val="0"/>
      <w:spacing w:line="240" w:lineRule="atLeast"/>
      <w:textAlignment w:val="center"/>
    </w:pPr>
    <w:rPr>
      <w:rFonts w:ascii="Graphik Bold" w:hAnsi="Graphik Bold" w:cs="Graphik Bold"/>
      <w:b/>
      <w:bCs/>
      <w:color w:val="000000"/>
    </w:rPr>
  </w:style>
  <w:style w:type="paragraph" w:customStyle="1" w:styleId="08TableTextCenterGTable">
    <w:name w:val="08.Table.Text.Center.G (Table)"/>
    <w:basedOn w:val="Normal"/>
    <w:uiPriority w:val="99"/>
    <w:rsid w:val="00884F4E"/>
    <w:pPr>
      <w:suppressAutoHyphens/>
      <w:autoSpaceDE w:val="0"/>
      <w:autoSpaceDN w:val="0"/>
      <w:adjustRightInd w:val="0"/>
      <w:spacing w:line="200" w:lineRule="atLeast"/>
      <w:jc w:val="center"/>
      <w:textAlignment w:val="center"/>
    </w:pPr>
    <w:rPr>
      <w:rFonts w:ascii="Graphik Cond Regular" w:hAnsi="Graphik Cond Regular" w:cs="Graphik Cond Regula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75D71-65F2-48D1-830F-CD7495EC6638}">
  <ds:schemaRefs>
    <ds:schemaRef ds:uri="http://schemas.microsoft.com/sharepoint/v3/contenttype/forms"/>
  </ds:schemaRefs>
</ds:datastoreItem>
</file>

<file path=customXml/itemProps2.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customXml/itemProps3.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2020-10-20T22:35:00Z</dcterms:created>
  <dcterms:modified xsi:type="dcterms:W3CDTF">2020-10-20T22:37:00Z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