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EFD"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Independent Banker</w:t>
      </w:r>
    </w:p>
    <w:p w14:paraId="6BE31E48" w14:textId="4357C79A" w:rsidR="00E17690" w:rsidRPr="00E86899" w:rsidRDefault="009A25BD"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October</w:t>
      </w:r>
      <w:bookmarkStart w:id="0" w:name="_GoBack"/>
      <w:bookmarkEnd w:id="0"/>
      <w:r w:rsidR="00350666">
        <w:rPr>
          <w:rStyle w:val="01GraphikboldICB"/>
          <w:rFonts w:asciiTheme="minorHAnsi" w:hAnsiTheme="minorHAnsi" w:cstheme="minorHAnsi"/>
          <w:w w:val="101"/>
          <w:sz w:val="22"/>
          <w:szCs w:val="22"/>
        </w:rPr>
        <w:t xml:space="preserve"> </w:t>
      </w:r>
      <w:r w:rsidR="00E17690" w:rsidRPr="00E86899">
        <w:rPr>
          <w:rStyle w:val="01GraphikboldICB"/>
          <w:rFonts w:asciiTheme="minorHAnsi" w:hAnsiTheme="minorHAnsi" w:cstheme="minorHAnsi"/>
          <w:w w:val="101"/>
          <w:sz w:val="22"/>
          <w:szCs w:val="22"/>
        </w:rPr>
        <w:t>2019</w:t>
      </w:r>
    </w:p>
    <w:p w14:paraId="73590021" w14:textId="66079FCA" w:rsidR="00536E0E" w:rsidRDefault="00C6147B"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Innovation Station by Kevin Tweddle</w:t>
      </w:r>
    </w:p>
    <w:p w14:paraId="5AE1FD33" w14:textId="6CB7872D" w:rsidR="00E17690" w:rsidRPr="00C6147B" w:rsidRDefault="009A25BD" w:rsidP="00E17690">
      <w:pPr>
        <w:pStyle w:val="05QuoteGraphikMed2024"/>
        <w:rPr>
          <w:rFonts w:cstheme="minorHAnsi"/>
          <w:b/>
          <w:bCs/>
          <w:w w:val="101"/>
          <w:sz w:val="22"/>
          <w:szCs w:val="22"/>
          <w:u w:val="none"/>
        </w:rPr>
      </w:pPr>
      <w:r>
        <w:rPr>
          <w:rFonts w:cstheme="minorHAnsi"/>
          <w:b/>
          <w:bCs/>
          <w:w w:val="101"/>
          <w:sz w:val="22"/>
          <w:szCs w:val="22"/>
          <w:u w:val="none"/>
        </w:rPr>
        <w:t>How to stay up to speed</w:t>
      </w:r>
    </w:p>
    <w:p w14:paraId="2ABB6DE3"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p>
    <w:p w14:paraId="22CBB3FF" w14:textId="7DC5EC8A" w:rsidR="009A25BD" w:rsidRPr="009A25BD" w:rsidRDefault="009A25BD" w:rsidP="009A25BD">
      <w:pPr>
        <w:rPr>
          <w:rFonts w:cstheme="minorHAnsi"/>
          <w:color w:val="000000"/>
          <w:w w:val="101"/>
          <w:sz w:val="22"/>
          <w:szCs w:val="22"/>
        </w:rPr>
      </w:pPr>
      <w:r>
        <w:rPr>
          <w:rFonts w:cstheme="minorHAnsi"/>
          <w:b/>
          <w:bCs/>
          <w:color w:val="000000"/>
          <w:w w:val="101"/>
          <w:sz w:val="22"/>
          <w:szCs w:val="22"/>
        </w:rPr>
        <w:t>M</w:t>
      </w:r>
      <w:r w:rsidRPr="009A25BD">
        <w:rPr>
          <w:rFonts w:cstheme="minorHAnsi"/>
          <w:b/>
          <w:bCs/>
          <w:color w:val="000000"/>
          <w:w w:val="101"/>
          <w:sz w:val="22"/>
          <w:szCs w:val="22"/>
        </w:rPr>
        <w:t>any community banks are grappling with digital transformation.</w:t>
      </w:r>
      <w:r w:rsidRPr="009A25BD">
        <w:rPr>
          <w:rFonts w:cstheme="minorHAnsi"/>
          <w:color w:val="000000"/>
          <w:w w:val="101"/>
          <w:sz w:val="22"/>
          <w:szCs w:val="22"/>
        </w:rPr>
        <w:t xml:space="preserve"> While advances in technology are nothing new, the speed at which these shifts are occurring can make it hard to manage. As community bankers, how do we keep up—or even get ahead—of the rapid pace of change? We at ICBA have given considerable thought to these questions and have created and curated several resources to help. </w:t>
      </w:r>
    </w:p>
    <w:p w14:paraId="7BC50B90" w14:textId="77777777" w:rsidR="009A25BD" w:rsidRPr="009A25BD" w:rsidRDefault="009A25BD" w:rsidP="009A25BD">
      <w:pPr>
        <w:rPr>
          <w:rFonts w:cstheme="minorHAnsi"/>
          <w:color w:val="000000"/>
          <w:w w:val="101"/>
          <w:sz w:val="22"/>
          <w:szCs w:val="22"/>
        </w:rPr>
      </w:pPr>
    </w:p>
    <w:p w14:paraId="5159808F" w14:textId="77777777" w:rsidR="009A25BD" w:rsidRPr="009A25BD" w:rsidRDefault="009A25BD" w:rsidP="009A25BD">
      <w:pPr>
        <w:rPr>
          <w:rFonts w:cstheme="minorHAnsi"/>
          <w:b/>
          <w:bCs/>
          <w:color w:val="000000"/>
          <w:w w:val="101"/>
          <w:sz w:val="22"/>
          <w:szCs w:val="22"/>
        </w:rPr>
      </w:pPr>
      <w:proofErr w:type="spellStart"/>
      <w:r w:rsidRPr="009A25BD">
        <w:rPr>
          <w:rFonts w:cstheme="minorHAnsi"/>
          <w:b/>
          <w:bCs/>
          <w:color w:val="000000"/>
          <w:w w:val="101"/>
          <w:sz w:val="22"/>
          <w:szCs w:val="22"/>
        </w:rPr>
        <w:t>ThinkTECH</w:t>
      </w:r>
      <w:proofErr w:type="spellEnd"/>
      <w:r w:rsidRPr="009A25BD">
        <w:rPr>
          <w:rFonts w:cstheme="minorHAnsi"/>
          <w:b/>
          <w:bCs/>
          <w:color w:val="000000"/>
          <w:w w:val="101"/>
          <w:sz w:val="22"/>
          <w:szCs w:val="22"/>
        </w:rPr>
        <w:t xml:space="preserve"> Network and core processor guide</w:t>
      </w:r>
    </w:p>
    <w:p w14:paraId="71A5C17E" w14:textId="77777777" w:rsidR="009A25BD" w:rsidRPr="009A25BD" w:rsidRDefault="009A25BD" w:rsidP="009A25BD">
      <w:pPr>
        <w:rPr>
          <w:rFonts w:cstheme="minorHAnsi"/>
          <w:color w:val="000000"/>
          <w:w w:val="101"/>
          <w:sz w:val="22"/>
          <w:szCs w:val="22"/>
        </w:rPr>
      </w:pPr>
      <w:r w:rsidRPr="009A25BD">
        <w:rPr>
          <w:rFonts w:cstheme="minorHAnsi"/>
          <w:color w:val="000000"/>
          <w:w w:val="101"/>
          <w:sz w:val="22"/>
          <w:szCs w:val="22"/>
        </w:rPr>
        <w:t xml:space="preserve">It is essential to understand that the future of community banking entails engaging with core processors and partnering with </w:t>
      </w:r>
      <w:proofErr w:type="spellStart"/>
      <w:r w:rsidRPr="009A25BD">
        <w:rPr>
          <w:rFonts w:cstheme="minorHAnsi"/>
          <w:color w:val="000000"/>
          <w:w w:val="101"/>
          <w:sz w:val="22"/>
          <w:szCs w:val="22"/>
        </w:rPr>
        <w:t>fintechs</w:t>
      </w:r>
      <w:proofErr w:type="spellEnd"/>
      <w:r w:rsidRPr="009A25BD">
        <w:rPr>
          <w:rFonts w:cstheme="minorHAnsi"/>
          <w:color w:val="000000"/>
          <w:w w:val="101"/>
          <w:sz w:val="22"/>
          <w:szCs w:val="22"/>
        </w:rPr>
        <w:t xml:space="preserve"> for innovation. To that end, we created the ICBA Core Processor Resource Guide and ICBA </w:t>
      </w:r>
      <w:proofErr w:type="spellStart"/>
      <w:r w:rsidRPr="009A25BD">
        <w:rPr>
          <w:rFonts w:cstheme="minorHAnsi"/>
          <w:color w:val="000000"/>
          <w:w w:val="101"/>
          <w:sz w:val="22"/>
          <w:szCs w:val="22"/>
        </w:rPr>
        <w:t>ThinkTECH</w:t>
      </w:r>
      <w:proofErr w:type="spellEnd"/>
      <w:r w:rsidRPr="009A25BD">
        <w:rPr>
          <w:rFonts w:cstheme="minorHAnsi"/>
          <w:color w:val="000000"/>
          <w:w w:val="101"/>
          <w:sz w:val="22"/>
          <w:szCs w:val="22"/>
        </w:rPr>
        <w:t xml:space="preserve"> Network. </w:t>
      </w:r>
    </w:p>
    <w:p w14:paraId="7EFCECEA" w14:textId="77777777" w:rsidR="009A25BD" w:rsidRPr="009A25BD" w:rsidRDefault="009A25BD" w:rsidP="009A25BD">
      <w:pPr>
        <w:rPr>
          <w:rFonts w:cstheme="minorHAnsi"/>
          <w:color w:val="000000"/>
          <w:w w:val="101"/>
          <w:sz w:val="22"/>
          <w:szCs w:val="22"/>
        </w:rPr>
      </w:pPr>
      <w:r w:rsidRPr="009A25BD">
        <w:rPr>
          <w:rFonts w:cstheme="minorHAnsi"/>
          <w:color w:val="000000"/>
          <w:w w:val="101"/>
          <w:sz w:val="22"/>
          <w:szCs w:val="22"/>
        </w:rPr>
        <w:t xml:space="preserve">The guide focuses on helping community banks cultivate strategic partnerships with their core processors. Specifically, it provides practical steps and insights for managing that relationship and ensuring it aligns with your bank’s long-term business goals and objectives. </w:t>
      </w:r>
    </w:p>
    <w:p w14:paraId="4819CDCF" w14:textId="77777777" w:rsidR="009A25BD" w:rsidRPr="009A25BD" w:rsidRDefault="009A25BD" w:rsidP="009A25BD">
      <w:pPr>
        <w:rPr>
          <w:rFonts w:cstheme="minorHAnsi"/>
          <w:color w:val="000000"/>
          <w:w w:val="101"/>
          <w:sz w:val="22"/>
          <w:szCs w:val="22"/>
        </w:rPr>
      </w:pPr>
      <w:r w:rsidRPr="009A25BD">
        <w:rPr>
          <w:rFonts w:cstheme="minorHAnsi"/>
          <w:color w:val="000000"/>
          <w:w w:val="101"/>
          <w:sz w:val="22"/>
          <w:szCs w:val="22"/>
        </w:rPr>
        <w:t xml:space="preserve">Another valuable tool is the ICBA </w:t>
      </w:r>
      <w:proofErr w:type="spellStart"/>
      <w:r w:rsidRPr="009A25BD">
        <w:rPr>
          <w:rFonts w:cstheme="minorHAnsi"/>
          <w:color w:val="000000"/>
          <w:w w:val="101"/>
          <w:sz w:val="22"/>
          <w:szCs w:val="22"/>
        </w:rPr>
        <w:t>ThinkTECH</w:t>
      </w:r>
      <w:proofErr w:type="spellEnd"/>
      <w:r w:rsidRPr="009A25BD">
        <w:rPr>
          <w:rFonts w:cstheme="minorHAnsi"/>
          <w:color w:val="000000"/>
          <w:w w:val="101"/>
          <w:sz w:val="22"/>
          <w:szCs w:val="22"/>
        </w:rPr>
        <w:t xml:space="preserve"> Network, a curated directory of community bank-friendly, vetted </w:t>
      </w:r>
      <w:proofErr w:type="spellStart"/>
      <w:r w:rsidRPr="009A25BD">
        <w:rPr>
          <w:rFonts w:cstheme="minorHAnsi"/>
          <w:color w:val="000000"/>
          <w:w w:val="101"/>
          <w:sz w:val="22"/>
          <w:szCs w:val="22"/>
        </w:rPr>
        <w:t>fintechs</w:t>
      </w:r>
      <w:proofErr w:type="spellEnd"/>
      <w:r w:rsidRPr="009A25BD">
        <w:rPr>
          <w:rFonts w:cstheme="minorHAnsi"/>
          <w:color w:val="000000"/>
          <w:w w:val="101"/>
          <w:sz w:val="22"/>
          <w:szCs w:val="22"/>
        </w:rPr>
        <w:t xml:space="preserve">. The resource provides comprehensive company profiles that include solutions, reviews and testimonials to help facilitate partnerships. </w:t>
      </w:r>
    </w:p>
    <w:p w14:paraId="20F96155" w14:textId="77777777" w:rsidR="009A25BD" w:rsidRPr="009A25BD" w:rsidRDefault="009A25BD" w:rsidP="009A25BD">
      <w:pPr>
        <w:rPr>
          <w:rFonts w:cstheme="minorHAnsi"/>
          <w:color w:val="000000"/>
          <w:w w:val="101"/>
          <w:sz w:val="22"/>
          <w:szCs w:val="22"/>
        </w:rPr>
      </w:pPr>
    </w:p>
    <w:p w14:paraId="1A17B945" w14:textId="77777777" w:rsidR="009A25BD" w:rsidRPr="009A25BD" w:rsidRDefault="009A25BD" w:rsidP="009A25BD">
      <w:pPr>
        <w:rPr>
          <w:rFonts w:cstheme="minorHAnsi"/>
          <w:b/>
          <w:bCs/>
          <w:color w:val="000000"/>
          <w:w w:val="101"/>
          <w:sz w:val="22"/>
          <w:szCs w:val="22"/>
        </w:rPr>
      </w:pPr>
      <w:proofErr w:type="spellStart"/>
      <w:r w:rsidRPr="009A25BD">
        <w:rPr>
          <w:rFonts w:cstheme="minorHAnsi"/>
          <w:b/>
          <w:bCs/>
          <w:color w:val="000000"/>
          <w:w w:val="101"/>
          <w:sz w:val="22"/>
          <w:szCs w:val="22"/>
        </w:rPr>
        <w:t>ThinkTECH</w:t>
      </w:r>
      <w:proofErr w:type="spellEnd"/>
      <w:r w:rsidRPr="009A25BD">
        <w:rPr>
          <w:rFonts w:cstheme="minorHAnsi"/>
          <w:b/>
          <w:bCs/>
          <w:color w:val="000000"/>
          <w:w w:val="101"/>
          <w:sz w:val="22"/>
          <w:szCs w:val="22"/>
        </w:rPr>
        <w:t xml:space="preserve"> Accelerator</w:t>
      </w:r>
    </w:p>
    <w:p w14:paraId="1B2B592C" w14:textId="77777777" w:rsidR="009A25BD" w:rsidRPr="009A25BD" w:rsidRDefault="009A25BD" w:rsidP="009A25BD">
      <w:pPr>
        <w:rPr>
          <w:rFonts w:cstheme="minorHAnsi"/>
          <w:color w:val="000000"/>
          <w:w w:val="101"/>
          <w:sz w:val="22"/>
          <w:szCs w:val="22"/>
        </w:rPr>
      </w:pPr>
      <w:r w:rsidRPr="009A25BD">
        <w:rPr>
          <w:rFonts w:cstheme="minorHAnsi"/>
          <w:color w:val="000000"/>
          <w:w w:val="101"/>
          <w:sz w:val="22"/>
          <w:szCs w:val="22"/>
        </w:rPr>
        <w:t xml:space="preserve">We want to foster dialogue between community bankers and </w:t>
      </w:r>
      <w:proofErr w:type="spellStart"/>
      <w:r w:rsidRPr="009A25BD">
        <w:rPr>
          <w:rFonts w:cstheme="minorHAnsi"/>
          <w:color w:val="000000"/>
          <w:w w:val="101"/>
          <w:sz w:val="22"/>
          <w:szCs w:val="22"/>
        </w:rPr>
        <w:t>fintechs</w:t>
      </w:r>
      <w:proofErr w:type="spellEnd"/>
      <w:r w:rsidRPr="009A25BD">
        <w:rPr>
          <w:rFonts w:cstheme="minorHAnsi"/>
          <w:color w:val="000000"/>
          <w:w w:val="101"/>
          <w:sz w:val="22"/>
          <w:szCs w:val="22"/>
        </w:rPr>
        <w:t xml:space="preserve">, especially early stage </w:t>
      </w:r>
      <w:proofErr w:type="spellStart"/>
      <w:r w:rsidRPr="009A25BD">
        <w:rPr>
          <w:rFonts w:cstheme="minorHAnsi"/>
          <w:color w:val="000000"/>
          <w:w w:val="101"/>
          <w:sz w:val="22"/>
          <w:szCs w:val="22"/>
        </w:rPr>
        <w:t>fintechs</w:t>
      </w:r>
      <w:proofErr w:type="spellEnd"/>
      <w:r w:rsidRPr="009A25BD">
        <w:rPr>
          <w:rFonts w:cstheme="minorHAnsi"/>
          <w:color w:val="000000"/>
          <w:w w:val="101"/>
          <w:sz w:val="22"/>
          <w:szCs w:val="22"/>
        </w:rPr>
        <w:t xml:space="preserve"> that are solving specific problems for banks. With that goal in mind, ICBA launched its first </w:t>
      </w:r>
      <w:proofErr w:type="spellStart"/>
      <w:r w:rsidRPr="009A25BD">
        <w:rPr>
          <w:rFonts w:cstheme="minorHAnsi"/>
          <w:color w:val="000000"/>
          <w:w w:val="101"/>
          <w:sz w:val="22"/>
          <w:szCs w:val="22"/>
        </w:rPr>
        <w:t>ThinkTECH</w:t>
      </w:r>
      <w:proofErr w:type="spellEnd"/>
      <w:r w:rsidRPr="009A25BD">
        <w:rPr>
          <w:rFonts w:cstheme="minorHAnsi"/>
          <w:color w:val="000000"/>
          <w:w w:val="101"/>
          <w:sz w:val="22"/>
          <w:szCs w:val="22"/>
        </w:rPr>
        <w:t xml:space="preserve"> Accelerator in late 2018 as a means to educate </w:t>
      </w:r>
      <w:proofErr w:type="spellStart"/>
      <w:r w:rsidRPr="009A25BD">
        <w:rPr>
          <w:rFonts w:cstheme="minorHAnsi"/>
          <w:color w:val="000000"/>
          <w:w w:val="101"/>
          <w:sz w:val="22"/>
          <w:szCs w:val="22"/>
        </w:rPr>
        <w:t>fintechs</w:t>
      </w:r>
      <w:proofErr w:type="spellEnd"/>
      <w:r w:rsidRPr="009A25BD">
        <w:rPr>
          <w:rFonts w:cstheme="minorHAnsi"/>
          <w:color w:val="000000"/>
          <w:w w:val="101"/>
          <w:sz w:val="22"/>
          <w:szCs w:val="22"/>
        </w:rPr>
        <w:t xml:space="preserve"> about community banking and create an outlet for community banks to engage directly with </w:t>
      </w:r>
      <w:proofErr w:type="spellStart"/>
      <w:r w:rsidRPr="009A25BD">
        <w:rPr>
          <w:rFonts w:cstheme="minorHAnsi"/>
          <w:color w:val="000000"/>
          <w:w w:val="101"/>
          <w:sz w:val="22"/>
          <w:szCs w:val="22"/>
        </w:rPr>
        <w:t>fintechs</w:t>
      </w:r>
      <w:proofErr w:type="spellEnd"/>
      <w:r w:rsidRPr="009A25BD">
        <w:rPr>
          <w:rFonts w:cstheme="minorHAnsi"/>
          <w:color w:val="000000"/>
          <w:w w:val="101"/>
          <w:sz w:val="22"/>
          <w:szCs w:val="22"/>
        </w:rPr>
        <w:t xml:space="preserve"> to identify challenges and potential solutions. </w:t>
      </w:r>
    </w:p>
    <w:p w14:paraId="69089CF0" w14:textId="77777777" w:rsidR="009A25BD" w:rsidRPr="009A25BD" w:rsidRDefault="009A25BD" w:rsidP="009A25BD">
      <w:pPr>
        <w:rPr>
          <w:rFonts w:cstheme="minorHAnsi"/>
          <w:color w:val="000000"/>
          <w:w w:val="101"/>
          <w:sz w:val="22"/>
          <w:szCs w:val="22"/>
        </w:rPr>
      </w:pPr>
    </w:p>
    <w:p w14:paraId="0A79869F" w14:textId="77777777" w:rsidR="009A25BD" w:rsidRPr="009A25BD" w:rsidRDefault="009A25BD" w:rsidP="009A25BD">
      <w:pPr>
        <w:rPr>
          <w:rFonts w:cstheme="minorHAnsi"/>
          <w:b/>
          <w:bCs/>
          <w:color w:val="000000"/>
          <w:w w:val="101"/>
          <w:sz w:val="22"/>
          <w:szCs w:val="22"/>
        </w:rPr>
      </w:pPr>
      <w:r w:rsidRPr="009A25BD">
        <w:rPr>
          <w:rFonts w:cstheme="minorHAnsi"/>
          <w:b/>
          <w:bCs/>
          <w:color w:val="000000"/>
          <w:w w:val="101"/>
          <w:sz w:val="22"/>
          <w:szCs w:val="22"/>
        </w:rPr>
        <w:t>Publications and social media</w:t>
      </w:r>
    </w:p>
    <w:p w14:paraId="732E36A9" w14:textId="77777777" w:rsidR="009A25BD" w:rsidRPr="009A25BD" w:rsidRDefault="009A25BD" w:rsidP="009A25BD">
      <w:pPr>
        <w:rPr>
          <w:rFonts w:cstheme="minorHAnsi"/>
          <w:color w:val="000000"/>
          <w:w w:val="101"/>
          <w:sz w:val="22"/>
          <w:szCs w:val="22"/>
        </w:rPr>
      </w:pPr>
      <w:r w:rsidRPr="009A25BD">
        <w:rPr>
          <w:rFonts w:cstheme="minorHAnsi"/>
          <w:color w:val="000000"/>
          <w:w w:val="101"/>
          <w:sz w:val="22"/>
          <w:szCs w:val="22"/>
        </w:rPr>
        <w:t xml:space="preserve">Reading is another critical tool for educating yourself about industry developments and cultivating innovation. I recommend a two-pronged approach: reading industry publications and Twitter, which I use as an educational source. When I speak at conferences, I include a list of approximately 20 publications and Twitter feeds I read regularly. Included on my list are </w:t>
      </w:r>
      <w:r w:rsidRPr="009A25BD">
        <w:rPr>
          <w:rFonts w:cstheme="minorHAnsi"/>
          <w:i/>
          <w:iCs/>
          <w:color w:val="000000"/>
          <w:w w:val="101"/>
          <w:sz w:val="22"/>
          <w:szCs w:val="22"/>
        </w:rPr>
        <w:t>American Banker</w:t>
      </w:r>
      <w:r w:rsidRPr="009A25BD">
        <w:rPr>
          <w:rFonts w:cstheme="minorHAnsi"/>
          <w:color w:val="000000"/>
          <w:w w:val="101"/>
          <w:sz w:val="22"/>
          <w:szCs w:val="22"/>
        </w:rPr>
        <w:t xml:space="preserve">, </w:t>
      </w:r>
      <w:proofErr w:type="spellStart"/>
      <w:r w:rsidRPr="009A25BD">
        <w:rPr>
          <w:rFonts w:cstheme="minorHAnsi"/>
          <w:color w:val="000000"/>
          <w:w w:val="101"/>
          <w:sz w:val="22"/>
          <w:szCs w:val="22"/>
        </w:rPr>
        <w:t>FinXTech</w:t>
      </w:r>
      <w:proofErr w:type="spellEnd"/>
      <w:r w:rsidRPr="009A25BD">
        <w:rPr>
          <w:rFonts w:cstheme="minorHAnsi"/>
          <w:color w:val="000000"/>
          <w:w w:val="101"/>
          <w:sz w:val="22"/>
          <w:szCs w:val="22"/>
        </w:rPr>
        <w:t xml:space="preserve">, the Financial Brand and EPC News, as well as Mobile Business Insights, FMS and the Community Banking Brief. I follow fintech and thought leaders on Twitter, both inside and outside the industry. A few of my favorites are </w:t>
      </w:r>
      <w:r w:rsidRPr="009A25BD">
        <w:rPr>
          <w:rFonts w:cstheme="minorHAnsi"/>
          <w:i/>
          <w:iCs/>
          <w:color w:val="000000"/>
          <w:w w:val="101"/>
          <w:sz w:val="22"/>
          <w:szCs w:val="22"/>
        </w:rPr>
        <w:t>@</w:t>
      </w:r>
      <w:proofErr w:type="spellStart"/>
      <w:r w:rsidRPr="009A25BD">
        <w:rPr>
          <w:rFonts w:cstheme="minorHAnsi"/>
          <w:i/>
          <w:iCs/>
          <w:color w:val="000000"/>
          <w:w w:val="101"/>
          <w:sz w:val="22"/>
          <w:szCs w:val="22"/>
        </w:rPr>
        <w:t>Chris_Skinner</w:t>
      </w:r>
      <w:proofErr w:type="spellEnd"/>
      <w:r w:rsidRPr="009A25BD">
        <w:rPr>
          <w:rFonts w:cstheme="minorHAnsi"/>
          <w:color w:val="000000"/>
          <w:w w:val="101"/>
          <w:sz w:val="22"/>
          <w:szCs w:val="22"/>
        </w:rPr>
        <w:t xml:space="preserve">, </w:t>
      </w:r>
      <w:r w:rsidRPr="009A25BD">
        <w:rPr>
          <w:rFonts w:cstheme="minorHAnsi"/>
          <w:i/>
          <w:iCs/>
          <w:color w:val="000000"/>
          <w:w w:val="101"/>
          <w:sz w:val="22"/>
          <w:szCs w:val="22"/>
        </w:rPr>
        <w:t>@</w:t>
      </w:r>
      <w:proofErr w:type="spellStart"/>
      <w:r w:rsidRPr="009A25BD">
        <w:rPr>
          <w:rFonts w:cstheme="minorHAnsi"/>
          <w:i/>
          <w:iCs/>
          <w:color w:val="000000"/>
          <w:w w:val="101"/>
          <w:sz w:val="22"/>
          <w:szCs w:val="22"/>
        </w:rPr>
        <w:t>JimMarous</w:t>
      </w:r>
      <w:proofErr w:type="spellEnd"/>
      <w:r w:rsidRPr="009A25BD">
        <w:rPr>
          <w:rFonts w:cstheme="minorHAnsi"/>
          <w:color w:val="000000"/>
          <w:w w:val="101"/>
          <w:sz w:val="22"/>
          <w:szCs w:val="22"/>
        </w:rPr>
        <w:t xml:space="preserve">, </w:t>
      </w:r>
      <w:r w:rsidRPr="009A25BD">
        <w:rPr>
          <w:rFonts w:cstheme="minorHAnsi"/>
          <w:color w:val="000000"/>
          <w:w w:val="101"/>
          <w:sz w:val="22"/>
          <w:szCs w:val="22"/>
        </w:rPr>
        <w:br/>
      </w:r>
      <w:r w:rsidRPr="009A25BD">
        <w:rPr>
          <w:rFonts w:cstheme="minorHAnsi"/>
          <w:i/>
          <w:iCs/>
          <w:color w:val="000000"/>
          <w:w w:val="101"/>
          <w:sz w:val="22"/>
          <w:szCs w:val="22"/>
        </w:rPr>
        <w:t>@</w:t>
      </w:r>
      <w:proofErr w:type="spellStart"/>
      <w:r w:rsidRPr="009A25BD">
        <w:rPr>
          <w:rFonts w:cstheme="minorHAnsi"/>
          <w:i/>
          <w:iCs/>
          <w:color w:val="000000"/>
          <w:w w:val="101"/>
          <w:sz w:val="22"/>
          <w:szCs w:val="22"/>
        </w:rPr>
        <w:t>leewetherington</w:t>
      </w:r>
      <w:proofErr w:type="spellEnd"/>
      <w:r w:rsidRPr="009A25BD">
        <w:rPr>
          <w:rFonts w:cstheme="minorHAnsi"/>
          <w:color w:val="000000"/>
          <w:w w:val="101"/>
          <w:sz w:val="22"/>
          <w:szCs w:val="22"/>
        </w:rPr>
        <w:t xml:space="preserve"> and </w:t>
      </w:r>
      <w:r w:rsidRPr="009A25BD">
        <w:rPr>
          <w:rFonts w:cstheme="minorHAnsi"/>
          <w:i/>
          <w:iCs/>
          <w:color w:val="000000"/>
          <w:w w:val="101"/>
          <w:sz w:val="22"/>
          <w:szCs w:val="22"/>
        </w:rPr>
        <w:t>@</w:t>
      </w:r>
      <w:proofErr w:type="spellStart"/>
      <w:r w:rsidRPr="009A25BD">
        <w:rPr>
          <w:rFonts w:cstheme="minorHAnsi"/>
          <w:i/>
          <w:iCs/>
          <w:color w:val="000000"/>
          <w:w w:val="101"/>
          <w:sz w:val="22"/>
          <w:szCs w:val="22"/>
        </w:rPr>
        <w:t>rshevlin</w:t>
      </w:r>
      <w:proofErr w:type="spellEnd"/>
      <w:r w:rsidRPr="009A25BD">
        <w:rPr>
          <w:rFonts w:cstheme="minorHAnsi"/>
          <w:color w:val="000000"/>
          <w:w w:val="101"/>
          <w:sz w:val="22"/>
          <w:szCs w:val="22"/>
        </w:rPr>
        <w:t xml:space="preserve">. </w:t>
      </w:r>
    </w:p>
    <w:p w14:paraId="4EF3D460" w14:textId="77777777" w:rsidR="009A25BD" w:rsidRPr="009A25BD" w:rsidRDefault="009A25BD" w:rsidP="009A25BD">
      <w:pPr>
        <w:rPr>
          <w:rFonts w:cstheme="minorHAnsi"/>
          <w:color w:val="000000"/>
          <w:w w:val="101"/>
          <w:sz w:val="22"/>
          <w:szCs w:val="22"/>
        </w:rPr>
      </w:pPr>
    </w:p>
    <w:p w14:paraId="7B273EC3" w14:textId="77777777" w:rsidR="009A25BD" w:rsidRPr="009A25BD" w:rsidRDefault="009A25BD" w:rsidP="009A25BD">
      <w:pPr>
        <w:rPr>
          <w:rFonts w:cstheme="minorHAnsi"/>
          <w:b/>
          <w:bCs/>
          <w:color w:val="000000"/>
          <w:w w:val="101"/>
          <w:sz w:val="22"/>
          <w:szCs w:val="22"/>
        </w:rPr>
      </w:pPr>
      <w:r w:rsidRPr="009A25BD">
        <w:rPr>
          <w:rFonts w:cstheme="minorHAnsi"/>
          <w:b/>
          <w:bCs/>
          <w:color w:val="000000"/>
          <w:w w:val="101"/>
          <w:sz w:val="22"/>
          <w:szCs w:val="22"/>
        </w:rPr>
        <w:t>ICBA conferences and educational events</w:t>
      </w:r>
    </w:p>
    <w:p w14:paraId="2B9FC184" w14:textId="77777777" w:rsidR="009A25BD" w:rsidRPr="009A25BD" w:rsidRDefault="009A25BD" w:rsidP="009A25BD">
      <w:pPr>
        <w:rPr>
          <w:rFonts w:cstheme="minorHAnsi"/>
          <w:color w:val="000000"/>
          <w:w w:val="101"/>
          <w:sz w:val="22"/>
          <w:szCs w:val="22"/>
        </w:rPr>
      </w:pPr>
      <w:r w:rsidRPr="009A25BD">
        <w:rPr>
          <w:rFonts w:cstheme="minorHAnsi"/>
          <w:color w:val="000000"/>
          <w:w w:val="101"/>
          <w:sz w:val="22"/>
          <w:szCs w:val="22"/>
        </w:rPr>
        <w:t xml:space="preserve">ICBA conferences and resources are valuable tools for staying current. Two that are top of mind are our annual conference—ICBA LIVE—and Community Banker University. We also sponsor two conferences: the </w:t>
      </w:r>
      <w:proofErr w:type="spellStart"/>
      <w:r w:rsidRPr="009A25BD">
        <w:rPr>
          <w:rFonts w:cstheme="minorHAnsi"/>
          <w:color w:val="000000"/>
          <w:w w:val="101"/>
          <w:sz w:val="22"/>
          <w:szCs w:val="22"/>
        </w:rPr>
        <w:t>FinXTech</w:t>
      </w:r>
      <w:proofErr w:type="spellEnd"/>
      <w:r w:rsidRPr="009A25BD">
        <w:rPr>
          <w:rFonts w:cstheme="minorHAnsi"/>
          <w:color w:val="000000"/>
          <w:w w:val="101"/>
          <w:sz w:val="22"/>
          <w:szCs w:val="22"/>
        </w:rPr>
        <w:t xml:space="preserve"> conference, held in September, and the Fi FinTech conference, hosted annually each November, both of which I recommend. </w:t>
      </w:r>
    </w:p>
    <w:p w14:paraId="2ACFB667" w14:textId="77777777" w:rsidR="009A25BD" w:rsidRPr="009A25BD" w:rsidRDefault="009A25BD" w:rsidP="009A25BD">
      <w:pPr>
        <w:rPr>
          <w:rFonts w:cstheme="minorHAnsi"/>
          <w:color w:val="000000"/>
          <w:w w:val="101"/>
          <w:sz w:val="22"/>
          <w:szCs w:val="22"/>
        </w:rPr>
      </w:pPr>
      <w:r w:rsidRPr="009A25BD">
        <w:rPr>
          <w:rFonts w:cstheme="minorHAnsi"/>
          <w:color w:val="000000"/>
          <w:w w:val="101"/>
          <w:sz w:val="22"/>
          <w:szCs w:val="22"/>
        </w:rPr>
        <w:t xml:space="preserve">The race toward innovation will only accelerate. Avoidance isn’t a strategy. Educate yourself now and continue to educate your team as you look for new ways to innovate.  </w:t>
      </w:r>
    </w:p>
    <w:p w14:paraId="79AD4B07" w14:textId="6979DBCD" w:rsidR="00350666" w:rsidRDefault="00350666" w:rsidP="009A25BD">
      <w:pPr>
        <w:rPr>
          <w:rFonts w:cstheme="minorHAnsi"/>
          <w:bCs/>
          <w:color w:val="000000"/>
          <w:w w:val="101"/>
          <w:sz w:val="22"/>
          <w:szCs w:val="22"/>
        </w:rPr>
      </w:pPr>
    </w:p>
    <w:p w14:paraId="4AD7D5F9" w14:textId="22F3AFD5" w:rsidR="00E624AF" w:rsidRPr="00E624AF" w:rsidRDefault="00E624AF" w:rsidP="00E624AF">
      <w:pPr>
        <w:rPr>
          <w:rFonts w:cstheme="minorHAnsi"/>
          <w:bCs/>
          <w:color w:val="000000"/>
          <w:w w:val="101"/>
          <w:sz w:val="22"/>
          <w:szCs w:val="22"/>
        </w:rPr>
      </w:pPr>
      <w:r w:rsidRPr="00E624AF">
        <w:rPr>
          <w:rFonts w:cstheme="minorHAnsi"/>
          <w:bCs/>
          <w:color w:val="000000"/>
          <w:w w:val="101"/>
          <w:sz w:val="22"/>
          <w:szCs w:val="22"/>
        </w:rPr>
        <w:t>Kevin Tweddle</w:t>
      </w:r>
      <w:r>
        <w:rPr>
          <w:rFonts w:cstheme="minorHAnsi"/>
          <w:bCs/>
          <w:color w:val="000000"/>
          <w:w w:val="101"/>
          <w:sz w:val="22"/>
          <w:szCs w:val="22"/>
        </w:rPr>
        <w:t xml:space="preserve"> </w:t>
      </w:r>
      <w:r w:rsidRPr="00E624AF">
        <w:rPr>
          <w:rFonts w:cstheme="minorHAnsi"/>
          <w:bCs/>
          <w:color w:val="000000"/>
          <w:w w:val="101"/>
          <w:sz w:val="22"/>
          <w:szCs w:val="22"/>
        </w:rPr>
        <w:t>(kevin.tweddle@icba.org) is</w:t>
      </w:r>
      <w:r>
        <w:rPr>
          <w:rFonts w:cstheme="minorHAnsi"/>
          <w:bCs/>
          <w:color w:val="000000"/>
          <w:w w:val="101"/>
          <w:sz w:val="22"/>
          <w:szCs w:val="22"/>
        </w:rPr>
        <w:t xml:space="preserve"> </w:t>
      </w:r>
      <w:r w:rsidRPr="00E624AF">
        <w:rPr>
          <w:rFonts w:cstheme="minorHAnsi"/>
          <w:bCs/>
          <w:color w:val="000000"/>
          <w:w w:val="101"/>
          <w:sz w:val="22"/>
          <w:szCs w:val="22"/>
        </w:rPr>
        <w:t>chief operating</w:t>
      </w:r>
      <w:r>
        <w:rPr>
          <w:rFonts w:cstheme="minorHAnsi"/>
          <w:bCs/>
          <w:color w:val="000000"/>
          <w:w w:val="101"/>
          <w:sz w:val="22"/>
          <w:szCs w:val="22"/>
        </w:rPr>
        <w:t xml:space="preserve"> </w:t>
      </w:r>
      <w:r w:rsidRPr="00E624AF">
        <w:rPr>
          <w:rFonts w:cstheme="minorHAnsi"/>
          <w:bCs/>
          <w:color w:val="000000"/>
          <w:w w:val="101"/>
          <w:sz w:val="22"/>
          <w:szCs w:val="22"/>
        </w:rPr>
        <w:t>officer of the</w:t>
      </w:r>
      <w:r>
        <w:rPr>
          <w:rFonts w:cstheme="minorHAnsi"/>
          <w:bCs/>
          <w:color w:val="000000"/>
          <w:w w:val="101"/>
          <w:sz w:val="22"/>
          <w:szCs w:val="22"/>
        </w:rPr>
        <w:t xml:space="preserve"> </w:t>
      </w:r>
      <w:r w:rsidRPr="00E624AF">
        <w:rPr>
          <w:rFonts w:cstheme="minorHAnsi"/>
          <w:bCs/>
          <w:color w:val="000000"/>
          <w:w w:val="101"/>
          <w:sz w:val="22"/>
          <w:szCs w:val="22"/>
        </w:rPr>
        <w:t>ICBA Services</w:t>
      </w:r>
      <w:r>
        <w:rPr>
          <w:rFonts w:cstheme="minorHAnsi"/>
          <w:bCs/>
          <w:color w:val="000000"/>
          <w:w w:val="101"/>
          <w:sz w:val="22"/>
          <w:szCs w:val="22"/>
        </w:rPr>
        <w:t xml:space="preserve"> </w:t>
      </w:r>
      <w:r w:rsidRPr="00E624AF">
        <w:rPr>
          <w:rFonts w:cstheme="minorHAnsi"/>
          <w:bCs/>
          <w:color w:val="000000"/>
          <w:w w:val="101"/>
          <w:sz w:val="22"/>
          <w:szCs w:val="22"/>
        </w:rPr>
        <w:t>Network</w:t>
      </w:r>
    </w:p>
    <w:sectPr w:rsidR="00E624AF" w:rsidRPr="00E62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063FF"/>
    <w:multiLevelType w:val="hybridMultilevel"/>
    <w:tmpl w:val="D89C9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C4565"/>
    <w:multiLevelType w:val="hybridMultilevel"/>
    <w:tmpl w:val="DD0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8704D4"/>
    <w:multiLevelType w:val="hybridMultilevel"/>
    <w:tmpl w:val="CB3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127BC"/>
    <w:rsid w:val="000205C0"/>
    <w:rsid w:val="00034747"/>
    <w:rsid w:val="000D658E"/>
    <w:rsid w:val="000F242E"/>
    <w:rsid w:val="00130660"/>
    <w:rsid w:val="00132BFF"/>
    <w:rsid w:val="00140489"/>
    <w:rsid w:val="0015379F"/>
    <w:rsid w:val="00153FAB"/>
    <w:rsid w:val="0017240B"/>
    <w:rsid w:val="001F5EFE"/>
    <w:rsid w:val="002608A7"/>
    <w:rsid w:val="002706D7"/>
    <w:rsid w:val="002716C0"/>
    <w:rsid w:val="00272545"/>
    <w:rsid w:val="002764EA"/>
    <w:rsid w:val="002823CD"/>
    <w:rsid w:val="002D55DF"/>
    <w:rsid w:val="002E587F"/>
    <w:rsid w:val="00300468"/>
    <w:rsid w:val="00350666"/>
    <w:rsid w:val="00353E51"/>
    <w:rsid w:val="003622B6"/>
    <w:rsid w:val="0038568A"/>
    <w:rsid w:val="003C2571"/>
    <w:rsid w:val="003D0EE6"/>
    <w:rsid w:val="004074DC"/>
    <w:rsid w:val="004455D6"/>
    <w:rsid w:val="00477671"/>
    <w:rsid w:val="0048554C"/>
    <w:rsid w:val="004E165B"/>
    <w:rsid w:val="004F3978"/>
    <w:rsid w:val="00513A83"/>
    <w:rsid w:val="00535254"/>
    <w:rsid w:val="00536E0E"/>
    <w:rsid w:val="005B610A"/>
    <w:rsid w:val="006035A8"/>
    <w:rsid w:val="00651958"/>
    <w:rsid w:val="00663F6F"/>
    <w:rsid w:val="00666F7A"/>
    <w:rsid w:val="006A22D0"/>
    <w:rsid w:val="00704F41"/>
    <w:rsid w:val="0072266E"/>
    <w:rsid w:val="00744CB1"/>
    <w:rsid w:val="00753434"/>
    <w:rsid w:val="00764BC9"/>
    <w:rsid w:val="007C4FF2"/>
    <w:rsid w:val="007F1B4C"/>
    <w:rsid w:val="0081697B"/>
    <w:rsid w:val="00834AF4"/>
    <w:rsid w:val="00856102"/>
    <w:rsid w:val="008575E5"/>
    <w:rsid w:val="0086020A"/>
    <w:rsid w:val="008B0ACD"/>
    <w:rsid w:val="008E53A8"/>
    <w:rsid w:val="008E7011"/>
    <w:rsid w:val="00903E5F"/>
    <w:rsid w:val="009143CC"/>
    <w:rsid w:val="00923EF3"/>
    <w:rsid w:val="009423B8"/>
    <w:rsid w:val="00970829"/>
    <w:rsid w:val="009846CB"/>
    <w:rsid w:val="009A25BD"/>
    <w:rsid w:val="009B4B9C"/>
    <w:rsid w:val="009B6048"/>
    <w:rsid w:val="009B7DEE"/>
    <w:rsid w:val="00A14857"/>
    <w:rsid w:val="00A71DA3"/>
    <w:rsid w:val="00AC3E4B"/>
    <w:rsid w:val="00AF116A"/>
    <w:rsid w:val="00B027CD"/>
    <w:rsid w:val="00B049CD"/>
    <w:rsid w:val="00B06BE3"/>
    <w:rsid w:val="00B45788"/>
    <w:rsid w:val="00B5668F"/>
    <w:rsid w:val="00B6436E"/>
    <w:rsid w:val="00B959A6"/>
    <w:rsid w:val="00BA0ABF"/>
    <w:rsid w:val="00BC1943"/>
    <w:rsid w:val="00BD0BFB"/>
    <w:rsid w:val="00BD7ABD"/>
    <w:rsid w:val="00C2729E"/>
    <w:rsid w:val="00C53367"/>
    <w:rsid w:val="00C6147B"/>
    <w:rsid w:val="00C65EA9"/>
    <w:rsid w:val="00C848EA"/>
    <w:rsid w:val="00CB038F"/>
    <w:rsid w:val="00CE414D"/>
    <w:rsid w:val="00D24124"/>
    <w:rsid w:val="00D32813"/>
    <w:rsid w:val="00D47420"/>
    <w:rsid w:val="00D65D89"/>
    <w:rsid w:val="00D877EC"/>
    <w:rsid w:val="00DE1C41"/>
    <w:rsid w:val="00E02813"/>
    <w:rsid w:val="00E143F6"/>
    <w:rsid w:val="00E17690"/>
    <w:rsid w:val="00E431CA"/>
    <w:rsid w:val="00E50942"/>
    <w:rsid w:val="00E624AF"/>
    <w:rsid w:val="00E636DF"/>
    <w:rsid w:val="00F257B8"/>
    <w:rsid w:val="00F41F3E"/>
    <w:rsid w:val="00F448EC"/>
    <w:rsid w:val="00F63903"/>
    <w:rsid w:val="00F74743"/>
    <w:rsid w:val="00FA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 w:type="paragraph" w:styleId="ListParagraph">
    <w:name w:val="List Paragraph"/>
    <w:basedOn w:val="Normal"/>
    <w:uiPriority w:val="34"/>
    <w:qFormat/>
    <w:rsid w:val="00C61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customXml/itemProps3.xml><?xml version="1.0" encoding="utf-8"?>
<ds:datastoreItem xmlns:ds="http://schemas.openxmlformats.org/officeDocument/2006/customXml" ds:itemID="{12275D71-65F2-48D1-830F-CD7495EC6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3</cp:revision>
  <dcterms:created xsi:type="dcterms:W3CDTF">2019-09-13T19:50:00Z</dcterms:created>
  <dcterms:modified xsi:type="dcterms:W3CDTF">2019-09-13T19:54:00Z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