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00F34" w14:textId="22C78AF9" w:rsidR="005F65A6" w:rsidRDefault="005F65A6" w:rsidP="00D4615E">
      <w:pPr>
        <w:spacing w:after="0"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Independent Banker</w:t>
      </w:r>
    </w:p>
    <w:p w14:paraId="0F1B4B9F" w14:textId="1592D443" w:rsidR="005F65A6" w:rsidRDefault="005F65A6" w:rsidP="00D4615E">
      <w:pPr>
        <w:spacing w:after="0"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September 2024</w:t>
      </w:r>
    </w:p>
    <w:p w14:paraId="6DB56D03" w14:textId="5EBBF7F1" w:rsidR="005F65A6" w:rsidRDefault="005F65A6" w:rsidP="00D4615E">
      <w:pPr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Portfolio</w:t>
      </w:r>
    </w:p>
    <w:p w14:paraId="52E3517E" w14:textId="365D4B10" w:rsidR="005F65A6" w:rsidRDefault="005F65A6" w:rsidP="00D4615E">
      <w:pPr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[tag] Innovation Station</w:t>
      </w:r>
    </w:p>
    <w:p w14:paraId="49E21DB1" w14:textId="6E4B553D" w:rsidR="00326C01" w:rsidRDefault="005F65A6" w:rsidP="00D4615E">
      <w:pPr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[</w:t>
      </w:r>
      <w:proofErr w:type="spellStart"/>
      <w:r>
        <w:rPr>
          <w:rFonts w:ascii="Cambria" w:hAnsi="Cambria"/>
          <w:b/>
          <w:bCs/>
        </w:rPr>
        <w:t>hed</w:t>
      </w:r>
      <w:proofErr w:type="spellEnd"/>
      <w:r>
        <w:rPr>
          <w:rFonts w:ascii="Cambria" w:hAnsi="Cambria"/>
          <w:b/>
          <w:bCs/>
        </w:rPr>
        <w:t xml:space="preserve">] </w:t>
      </w:r>
      <w:r w:rsidR="00FE3507">
        <w:rPr>
          <w:rFonts w:ascii="Cambria" w:hAnsi="Cambria"/>
          <w:b/>
          <w:bCs/>
        </w:rPr>
        <w:t>H</w:t>
      </w:r>
      <w:r w:rsidR="008A236E">
        <w:rPr>
          <w:rFonts w:ascii="Cambria" w:hAnsi="Cambria"/>
          <w:b/>
          <w:bCs/>
        </w:rPr>
        <w:t xml:space="preserve">ow </w:t>
      </w:r>
      <w:r w:rsidR="00092810">
        <w:rPr>
          <w:rFonts w:ascii="Cambria" w:hAnsi="Cambria"/>
          <w:b/>
          <w:bCs/>
        </w:rPr>
        <w:t>f</w:t>
      </w:r>
      <w:r w:rsidR="008A236E">
        <w:rPr>
          <w:rFonts w:ascii="Cambria" w:hAnsi="Cambria"/>
          <w:b/>
          <w:bCs/>
        </w:rPr>
        <w:t xml:space="preserve">intech </w:t>
      </w:r>
      <w:r w:rsidR="00092810">
        <w:rPr>
          <w:rFonts w:ascii="Cambria" w:hAnsi="Cambria"/>
          <w:b/>
          <w:bCs/>
        </w:rPr>
        <w:t>r</w:t>
      </w:r>
      <w:r w:rsidR="008A236E">
        <w:rPr>
          <w:rFonts w:ascii="Cambria" w:hAnsi="Cambria"/>
          <w:b/>
          <w:bCs/>
        </w:rPr>
        <w:t xml:space="preserve">elationships </w:t>
      </w:r>
      <w:r w:rsidR="00092810">
        <w:rPr>
          <w:rFonts w:ascii="Cambria" w:hAnsi="Cambria"/>
          <w:b/>
          <w:bCs/>
        </w:rPr>
        <w:t>c</w:t>
      </w:r>
      <w:r w:rsidR="008A236E">
        <w:rPr>
          <w:rFonts w:ascii="Cambria" w:hAnsi="Cambria"/>
          <w:b/>
          <w:bCs/>
        </w:rPr>
        <w:t xml:space="preserve">an </w:t>
      </w:r>
      <w:r w:rsidR="00092810">
        <w:rPr>
          <w:rFonts w:ascii="Cambria" w:hAnsi="Cambria"/>
          <w:b/>
          <w:bCs/>
        </w:rPr>
        <w:t>l</w:t>
      </w:r>
      <w:r w:rsidR="008A236E">
        <w:rPr>
          <w:rFonts w:ascii="Cambria" w:hAnsi="Cambria"/>
          <w:b/>
          <w:bCs/>
        </w:rPr>
        <w:t xml:space="preserve">essen </w:t>
      </w:r>
      <w:r w:rsidR="00092810">
        <w:rPr>
          <w:rFonts w:ascii="Cambria" w:hAnsi="Cambria"/>
          <w:b/>
          <w:bCs/>
        </w:rPr>
        <w:t>c</w:t>
      </w:r>
      <w:r w:rsidR="008A236E">
        <w:rPr>
          <w:rFonts w:ascii="Cambria" w:hAnsi="Cambria"/>
          <w:b/>
          <w:bCs/>
        </w:rPr>
        <w:t xml:space="preserve">ompliance </w:t>
      </w:r>
      <w:r w:rsidR="00092810">
        <w:rPr>
          <w:rFonts w:ascii="Cambria" w:hAnsi="Cambria"/>
          <w:b/>
          <w:bCs/>
        </w:rPr>
        <w:t>b</w:t>
      </w:r>
      <w:r w:rsidR="008A236E">
        <w:rPr>
          <w:rFonts w:ascii="Cambria" w:hAnsi="Cambria"/>
          <w:b/>
          <w:bCs/>
        </w:rPr>
        <w:t>urdens</w:t>
      </w:r>
    </w:p>
    <w:p w14:paraId="5719E4F0" w14:textId="056BEDFC" w:rsidR="005F65A6" w:rsidRDefault="005F65A6" w:rsidP="00D4615E">
      <w:pPr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[byline] </w:t>
      </w:r>
      <w:r w:rsidRPr="00D4615E">
        <w:rPr>
          <w:rFonts w:ascii="Cambria" w:hAnsi="Cambria"/>
        </w:rPr>
        <w:t>By Charles E. Potts</w:t>
      </w:r>
    </w:p>
    <w:p w14:paraId="77852EBA" w14:textId="5B11F241" w:rsidR="00063816" w:rsidRDefault="005F65A6" w:rsidP="00D4615E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  <w:bCs/>
        </w:rPr>
        <w:t>[body]</w:t>
      </w:r>
    </w:p>
    <w:p w14:paraId="70BD9329" w14:textId="1E2FF1C7" w:rsidR="00F85575" w:rsidRDefault="00BF78B6" w:rsidP="00D4615E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C</w:t>
      </w:r>
      <w:r w:rsidR="008A236E">
        <w:rPr>
          <w:rFonts w:ascii="Cambria" w:hAnsi="Cambria"/>
        </w:rPr>
        <w:t xml:space="preserve">ompliance </w:t>
      </w:r>
      <w:r w:rsidR="00DD0F82">
        <w:rPr>
          <w:rFonts w:ascii="Cambria" w:hAnsi="Cambria"/>
        </w:rPr>
        <w:t xml:space="preserve">consistently </w:t>
      </w:r>
      <w:r w:rsidR="008A236E">
        <w:rPr>
          <w:rFonts w:ascii="Cambria" w:hAnsi="Cambria"/>
        </w:rPr>
        <w:t>rank</w:t>
      </w:r>
      <w:r w:rsidR="00DD0F82">
        <w:rPr>
          <w:rFonts w:ascii="Cambria" w:hAnsi="Cambria"/>
        </w:rPr>
        <w:t>s</w:t>
      </w:r>
      <w:r w:rsidR="008A236E">
        <w:rPr>
          <w:rFonts w:ascii="Cambria" w:hAnsi="Cambria"/>
        </w:rPr>
        <w:t xml:space="preserve"> as </w:t>
      </w:r>
      <w:r w:rsidR="00F5535E">
        <w:rPr>
          <w:rFonts w:ascii="Cambria" w:hAnsi="Cambria"/>
        </w:rPr>
        <w:t>one of the highest</w:t>
      </w:r>
      <w:r w:rsidR="00433A93">
        <w:rPr>
          <w:rFonts w:ascii="Cambria" w:hAnsi="Cambria"/>
        </w:rPr>
        <w:t xml:space="preserve"> business</w:t>
      </w:r>
      <w:r w:rsidR="00F5535E">
        <w:rPr>
          <w:rFonts w:ascii="Cambria" w:hAnsi="Cambria"/>
        </w:rPr>
        <w:t xml:space="preserve"> expenses </w:t>
      </w:r>
      <w:r w:rsidR="008A236E">
        <w:rPr>
          <w:rFonts w:ascii="Cambria" w:hAnsi="Cambria"/>
        </w:rPr>
        <w:t>for community banks</w:t>
      </w:r>
      <w:r w:rsidR="00F5535E">
        <w:rPr>
          <w:rFonts w:ascii="Cambria" w:hAnsi="Cambria"/>
        </w:rPr>
        <w:t>, and that burden is expected to climb: A</w:t>
      </w:r>
      <w:r w:rsidR="00E603C5">
        <w:rPr>
          <w:rFonts w:ascii="Cambria" w:hAnsi="Cambria"/>
        </w:rPr>
        <w:t xml:space="preserve"> </w:t>
      </w:r>
      <w:r w:rsidR="004339C0" w:rsidRPr="00D4615E">
        <w:t>Thomson Reuters survey</w:t>
      </w:r>
      <w:r w:rsidR="00E603C5">
        <w:rPr>
          <w:rFonts w:ascii="Cambria" w:hAnsi="Cambria"/>
        </w:rPr>
        <w:t xml:space="preserve"> found that </w:t>
      </w:r>
      <w:r w:rsidR="00E603C5" w:rsidRPr="00E603C5">
        <w:rPr>
          <w:rFonts w:ascii="Cambria" w:hAnsi="Cambria"/>
        </w:rPr>
        <w:t xml:space="preserve">57% of </w:t>
      </w:r>
      <w:r w:rsidR="00EE6CE0">
        <w:rPr>
          <w:rFonts w:ascii="Cambria" w:hAnsi="Cambria"/>
        </w:rPr>
        <w:t xml:space="preserve">U.S.-based financial </w:t>
      </w:r>
      <w:r w:rsidR="00601911">
        <w:rPr>
          <w:rFonts w:ascii="Cambria" w:hAnsi="Cambria"/>
        </w:rPr>
        <w:t xml:space="preserve">services </w:t>
      </w:r>
      <w:r w:rsidR="00EE6CE0">
        <w:rPr>
          <w:rFonts w:ascii="Cambria" w:hAnsi="Cambria"/>
        </w:rPr>
        <w:t>firms</w:t>
      </w:r>
      <w:r w:rsidR="00E603C5" w:rsidRPr="00E603C5">
        <w:rPr>
          <w:rFonts w:ascii="Cambria" w:hAnsi="Cambria"/>
        </w:rPr>
        <w:t xml:space="preserve"> </w:t>
      </w:r>
      <w:r w:rsidR="00433A93">
        <w:rPr>
          <w:rFonts w:ascii="Cambria" w:hAnsi="Cambria"/>
        </w:rPr>
        <w:t>anticipate</w:t>
      </w:r>
      <w:r w:rsidR="00E603C5" w:rsidRPr="00E603C5">
        <w:rPr>
          <w:rFonts w:ascii="Cambria" w:hAnsi="Cambria"/>
        </w:rPr>
        <w:t xml:space="preserve"> their total compliance team</w:t>
      </w:r>
      <w:r w:rsidR="00601911">
        <w:rPr>
          <w:rFonts w:ascii="Cambria" w:hAnsi="Cambria"/>
        </w:rPr>
        <w:t xml:space="preserve"> </w:t>
      </w:r>
      <w:r w:rsidR="00E603C5" w:rsidRPr="00E603C5">
        <w:rPr>
          <w:rFonts w:ascii="Cambria" w:hAnsi="Cambria"/>
        </w:rPr>
        <w:t xml:space="preserve">budget </w:t>
      </w:r>
      <w:r w:rsidR="007150FA">
        <w:rPr>
          <w:rFonts w:ascii="Cambria" w:hAnsi="Cambria"/>
        </w:rPr>
        <w:t>will rise</w:t>
      </w:r>
      <w:r w:rsidR="00363C23">
        <w:rPr>
          <w:rFonts w:ascii="Cambria" w:hAnsi="Cambria"/>
        </w:rPr>
        <w:t xml:space="preserve"> this year. </w:t>
      </w:r>
    </w:p>
    <w:p w14:paraId="41E35074" w14:textId="321C9388" w:rsidR="00683306" w:rsidRPr="00D4615E" w:rsidRDefault="005F65A6" w:rsidP="00D4615E">
      <w:pPr>
        <w:spacing w:line="276" w:lineRule="auto"/>
        <w:rPr>
          <w:rFonts w:ascii="Cambria" w:hAnsi="Cambria"/>
          <w:b/>
          <w:bCs/>
        </w:rPr>
      </w:pPr>
      <w:r w:rsidRPr="00D4615E">
        <w:rPr>
          <w:rFonts w:ascii="Cambria" w:hAnsi="Cambria"/>
          <w:b/>
          <w:bCs/>
        </w:rPr>
        <w:t>[</w:t>
      </w:r>
      <w:proofErr w:type="spellStart"/>
      <w:r w:rsidRPr="00D4615E">
        <w:rPr>
          <w:rFonts w:ascii="Cambria" w:hAnsi="Cambria"/>
          <w:b/>
          <w:bCs/>
        </w:rPr>
        <w:t>subhed</w:t>
      </w:r>
      <w:proofErr w:type="spellEnd"/>
      <w:r w:rsidRPr="00D4615E">
        <w:rPr>
          <w:rFonts w:ascii="Cambria" w:hAnsi="Cambria"/>
          <w:b/>
          <w:bCs/>
        </w:rPr>
        <w:t xml:space="preserve">] </w:t>
      </w:r>
      <w:proofErr w:type="gramStart"/>
      <w:r w:rsidR="00092810">
        <w:rPr>
          <w:rFonts w:ascii="Cambria" w:hAnsi="Cambria"/>
          <w:b/>
          <w:bCs/>
        </w:rPr>
        <w:t>The</w:t>
      </w:r>
      <w:proofErr w:type="gramEnd"/>
      <w:r w:rsidR="00092810">
        <w:rPr>
          <w:rFonts w:ascii="Cambria" w:hAnsi="Cambria"/>
          <w:b/>
          <w:bCs/>
        </w:rPr>
        <w:t xml:space="preserve"> evolving role of fintech in</w:t>
      </w:r>
      <w:r w:rsidR="00092810" w:rsidRPr="00D4615E">
        <w:rPr>
          <w:rFonts w:ascii="Cambria" w:hAnsi="Cambria"/>
          <w:b/>
          <w:bCs/>
        </w:rPr>
        <w:t xml:space="preserve"> </w:t>
      </w:r>
      <w:r w:rsidR="00683306" w:rsidRPr="00D4615E">
        <w:rPr>
          <w:rFonts w:ascii="Cambria" w:hAnsi="Cambria"/>
          <w:b/>
          <w:bCs/>
        </w:rPr>
        <w:t>compliance</w:t>
      </w:r>
    </w:p>
    <w:p w14:paraId="75D6A64C" w14:textId="0096B6F2" w:rsidR="001C2531" w:rsidRDefault="00363C23" w:rsidP="00D4615E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With </w:t>
      </w:r>
      <w:r w:rsidR="001B62DB">
        <w:rPr>
          <w:rFonts w:ascii="Cambria" w:hAnsi="Cambria"/>
        </w:rPr>
        <w:t>shrinking margins</w:t>
      </w:r>
      <w:r w:rsidR="00F85575">
        <w:rPr>
          <w:rFonts w:ascii="Cambria" w:hAnsi="Cambria"/>
        </w:rPr>
        <w:t xml:space="preserve">, external interest rate pressures, increased risk </w:t>
      </w:r>
      <w:r w:rsidR="00E55C41">
        <w:rPr>
          <w:rFonts w:ascii="Cambria" w:hAnsi="Cambria"/>
        </w:rPr>
        <w:t>and fraud mitigation investments</w:t>
      </w:r>
      <w:r w:rsidR="00726E42">
        <w:rPr>
          <w:rFonts w:ascii="Cambria" w:hAnsi="Cambria"/>
        </w:rPr>
        <w:t xml:space="preserve"> and more</w:t>
      </w:r>
      <w:r w:rsidR="001B62DB">
        <w:rPr>
          <w:rFonts w:ascii="Cambria" w:hAnsi="Cambria"/>
        </w:rPr>
        <w:t xml:space="preserve">, </w:t>
      </w:r>
      <w:r w:rsidR="0098745D">
        <w:rPr>
          <w:rFonts w:ascii="Cambria" w:hAnsi="Cambria"/>
        </w:rPr>
        <w:t>maintain</w:t>
      </w:r>
      <w:r w:rsidR="008E0E2B">
        <w:rPr>
          <w:rFonts w:ascii="Cambria" w:hAnsi="Cambria"/>
        </w:rPr>
        <w:t>ing</w:t>
      </w:r>
      <w:r w:rsidR="0098745D">
        <w:rPr>
          <w:rFonts w:ascii="Cambria" w:hAnsi="Cambria"/>
        </w:rPr>
        <w:t xml:space="preserve"> strong compliance </w:t>
      </w:r>
      <w:r w:rsidR="00642B9B">
        <w:rPr>
          <w:rFonts w:ascii="Cambria" w:hAnsi="Cambria"/>
        </w:rPr>
        <w:t>w</w:t>
      </w:r>
      <w:r w:rsidR="008E0E2B">
        <w:rPr>
          <w:rFonts w:ascii="Cambria" w:hAnsi="Cambria"/>
        </w:rPr>
        <w:t>ith mounting regulations is no easy task.  It’s even trick</w:t>
      </w:r>
      <w:r w:rsidR="005F65A6">
        <w:rPr>
          <w:rFonts w:ascii="Cambria" w:hAnsi="Cambria"/>
        </w:rPr>
        <w:t>i</w:t>
      </w:r>
      <w:r w:rsidR="008E0E2B">
        <w:rPr>
          <w:rFonts w:ascii="Cambria" w:hAnsi="Cambria"/>
        </w:rPr>
        <w:t xml:space="preserve">er when juggling budgets and limited resources. But fortunately, </w:t>
      </w:r>
      <w:r w:rsidR="003464BD">
        <w:rPr>
          <w:rFonts w:ascii="Cambria" w:hAnsi="Cambria"/>
        </w:rPr>
        <w:t xml:space="preserve">fintech providers can </w:t>
      </w:r>
      <w:r w:rsidR="008E0E2B">
        <w:rPr>
          <w:rFonts w:ascii="Cambria" w:hAnsi="Cambria"/>
        </w:rPr>
        <w:t xml:space="preserve">lend </w:t>
      </w:r>
      <w:r w:rsidR="003464BD">
        <w:rPr>
          <w:rFonts w:ascii="Cambria" w:hAnsi="Cambria"/>
        </w:rPr>
        <w:t xml:space="preserve">support. </w:t>
      </w:r>
    </w:p>
    <w:p w14:paraId="66FE7195" w14:textId="30F511A5" w:rsidR="00682072" w:rsidRDefault="00C57B4A" w:rsidP="00D4615E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In fact, f</w:t>
      </w:r>
      <w:r w:rsidR="00E74266">
        <w:rPr>
          <w:rFonts w:ascii="Cambria" w:hAnsi="Cambria"/>
        </w:rPr>
        <w:t xml:space="preserve">intechs </w:t>
      </w:r>
      <w:r w:rsidR="0018224C">
        <w:rPr>
          <w:rFonts w:ascii="Cambria" w:hAnsi="Cambria"/>
        </w:rPr>
        <w:t xml:space="preserve">can </w:t>
      </w:r>
      <w:r w:rsidR="00E74266">
        <w:rPr>
          <w:rFonts w:ascii="Cambria" w:hAnsi="Cambria"/>
        </w:rPr>
        <w:t>introduce operational efficiencies</w:t>
      </w:r>
      <w:r w:rsidR="00296D9C">
        <w:rPr>
          <w:rFonts w:ascii="Cambria" w:hAnsi="Cambria"/>
        </w:rPr>
        <w:t>. Take</w:t>
      </w:r>
      <w:r w:rsidR="00137088">
        <w:rPr>
          <w:rFonts w:ascii="Cambria" w:hAnsi="Cambria"/>
        </w:rPr>
        <w:t xml:space="preserve"> </w:t>
      </w:r>
      <w:hyperlink r:id="rId7" w:history="1">
        <w:proofErr w:type="spellStart"/>
        <w:r w:rsidR="00137088" w:rsidRPr="0031130B">
          <w:rPr>
            <w:rStyle w:val="Hyperlink"/>
            <w:rFonts w:ascii="Cambria" w:hAnsi="Cambria"/>
          </w:rPr>
          <w:t>Finosec</w:t>
        </w:r>
        <w:proofErr w:type="spellEnd"/>
      </w:hyperlink>
      <w:r w:rsidR="00137088">
        <w:rPr>
          <w:rFonts w:ascii="Cambria" w:hAnsi="Cambria"/>
        </w:rPr>
        <w:t xml:space="preserve">, </w:t>
      </w:r>
      <w:r w:rsidR="003B0DFF">
        <w:rPr>
          <w:rFonts w:ascii="Cambria" w:hAnsi="Cambria"/>
        </w:rPr>
        <w:t xml:space="preserve">an ICBA </w:t>
      </w:r>
      <w:proofErr w:type="spellStart"/>
      <w:r w:rsidR="003B0DFF">
        <w:rPr>
          <w:rFonts w:ascii="Cambria" w:hAnsi="Cambria"/>
        </w:rPr>
        <w:t>ThinkTECH</w:t>
      </w:r>
      <w:proofErr w:type="spellEnd"/>
      <w:r w:rsidR="003B0DFF">
        <w:rPr>
          <w:rFonts w:ascii="Cambria" w:hAnsi="Cambria"/>
        </w:rPr>
        <w:t xml:space="preserve"> alum, </w:t>
      </w:r>
      <w:r w:rsidR="00137088">
        <w:rPr>
          <w:rFonts w:ascii="Cambria" w:hAnsi="Cambria"/>
        </w:rPr>
        <w:t>who</w:t>
      </w:r>
      <w:r w:rsidR="00137088" w:rsidRPr="00137088">
        <w:rPr>
          <w:rFonts w:ascii="Cambria" w:hAnsi="Cambria"/>
        </w:rPr>
        <w:t xml:space="preserve"> offers a simple and automated governance platform </w:t>
      </w:r>
      <w:r w:rsidR="00137088">
        <w:rPr>
          <w:rFonts w:ascii="Cambria" w:hAnsi="Cambria"/>
        </w:rPr>
        <w:t xml:space="preserve">for information security and </w:t>
      </w:r>
      <w:r w:rsidR="0031130B">
        <w:rPr>
          <w:rFonts w:ascii="Cambria" w:hAnsi="Cambria"/>
        </w:rPr>
        <w:t xml:space="preserve">cybersecurity </w:t>
      </w:r>
      <w:r w:rsidR="00137088" w:rsidRPr="00137088">
        <w:rPr>
          <w:rFonts w:ascii="Cambria" w:hAnsi="Cambria"/>
        </w:rPr>
        <w:t>to save banks time and enhance exam preparedness.</w:t>
      </w:r>
      <w:r w:rsidR="00673D41">
        <w:rPr>
          <w:rFonts w:ascii="Cambria" w:hAnsi="Cambria"/>
        </w:rPr>
        <w:t xml:space="preserve"> Or consider </w:t>
      </w:r>
      <w:hyperlink r:id="rId8" w:history="1">
        <w:proofErr w:type="spellStart"/>
        <w:r w:rsidR="00057618" w:rsidRPr="009E0674">
          <w:rPr>
            <w:rStyle w:val="Hyperlink"/>
            <w:rFonts w:ascii="Cambria" w:hAnsi="Cambria"/>
          </w:rPr>
          <w:t>RiskScout</w:t>
        </w:r>
        <w:proofErr w:type="spellEnd"/>
      </w:hyperlink>
      <w:r w:rsidR="003B0DFF">
        <w:rPr>
          <w:rFonts w:ascii="Cambria" w:hAnsi="Cambria"/>
        </w:rPr>
        <w:t xml:space="preserve">, </w:t>
      </w:r>
      <w:r w:rsidR="00054BE6">
        <w:rPr>
          <w:rFonts w:ascii="Cambria" w:hAnsi="Cambria"/>
        </w:rPr>
        <w:t xml:space="preserve">a provider from our most recent cohort, </w:t>
      </w:r>
      <w:r w:rsidR="00057618">
        <w:rPr>
          <w:rFonts w:ascii="Cambria" w:hAnsi="Cambria"/>
        </w:rPr>
        <w:t>who</w:t>
      </w:r>
      <w:r w:rsidR="00A76100">
        <w:rPr>
          <w:rFonts w:ascii="Cambria" w:hAnsi="Cambria"/>
        </w:rPr>
        <w:t xml:space="preserve">se solutions are designed to </w:t>
      </w:r>
      <w:r w:rsidR="00A76100" w:rsidRPr="00A76100">
        <w:rPr>
          <w:rFonts w:ascii="Cambria" w:hAnsi="Cambria"/>
        </w:rPr>
        <w:t>increase revenue and decrease compliance costs by unlocking new deposit streams and automating BSA workflows.</w:t>
      </w:r>
    </w:p>
    <w:p w14:paraId="086D0BEB" w14:textId="13D4B9BA" w:rsidR="00683306" w:rsidRPr="00D4615E" w:rsidRDefault="005F65A6" w:rsidP="00D4615E">
      <w:pPr>
        <w:spacing w:line="276" w:lineRule="auto"/>
        <w:rPr>
          <w:rFonts w:ascii="Cambria" w:hAnsi="Cambria"/>
          <w:b/>
          <w:bCs/>
        </w:rPr>
      </w:pPr>
      <w:r w:rsidRPr="00D4615E">
        <w:rPr>
          <w:rFonts w:ascii="Cambria" w:hAnsi="Cambria"/>
          <w:b/>
          <w:bCs/>
        </w:rPr>
        <w:t>[</w:t>
      </w:r>
      <w:proofErr w:type="spellStart"/>
      <w:r w:rsidRPr="00D4615E">
        <w:rPr>
          <w:rFonts w:ascii="Cambria" w:hAnsi="Cambria"/>
          <w:b/>
          <w:bCs/>
        </w:rPr>
        <w:t>subhed</w:t>
      </w:r>
      <w:proofErr w:type="spellEnd"/>
      <w:r w:rsidRPr="00D4615E">
        <w:rPr>
          <w:rFonts w:ascii="Cambria" w:hAnsi="Cambria"/>
          <w:b/>
          <w:bCs/>
        </w:rPr>
        <w:t xml:space="preserve">] </w:t>
      </w:r>
      <w:r w:rsidR="00683306" w:rsidRPr="00D4615E">
        <w:rPr>
          <w:rFonts w:ascii="Cambria" w:hAnsi="Cambria"/>
          <w:b/>
          <w:bCs/>
        </w:rPr>
        <w:t>Specialized solutions</w:t>
      </w:r>
    </w:p>
    <w:p w14:paraId="460F20D5" w14:textId="44B2B578" w:rsidR="006E71F8" w:rsidRPr="006E71F8" w:rsidRDefault="00054BE6" w:rsidP="00D4615E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These fintechs speak to </w:t>
      </w:r>
      <w:r w:rsidR="00E42061">
        <w:rPr>
          <w:rFonts w:ascii="Cambria" w:hAnsi="Cambria"/>
        </w:rPr>
        <w:t>specific solutions for a defined problem.</w:t>
      </w:r>
      <w:r w:rsidR="0046527C">
        <w:rPr>
          <w:rFonts w:ascii="Cambria" w:hAnsi="Cambria"/>
        </w:rPr>
        <w:t xml:space="preserve"> Because each is</w:t>
      </w:r>
      <w:r w:rsidR="006E71F8" w:rsidRPr="006E71F8">
        <w:rPr>
          <w:rFonts w:ascii="Cambria" w:hAnsi="Cambria"/>
        </w:rPr>
        <w:t xml:space="preserve"> laser focused</w:t>
      </w:r>
      <w:r w:rsidR="00E42061">
        <w:rPr>
          <w:rFonts w:ascii="Cambria" w:hAnsi="Cambria"/>
        </w:rPr>
        <w:t>,</w:t>
      </w:r>
      <w:r w:rsidR="006E71F8">
        <w:rPr>
          <w:rFonts w:ascii="Cambria" w:hAnsi="Cambria"/>
        </w:rPr>
        <w:t xml:space="preserve"> they </w:t>
      </w:r>
      <w:r w:rsidR="0046527C">
        <w:rPr>
          <w:rFonts w:ascii="Cambria" w:hAnsi="Cambria"/>
        </w:rPr>
        <w:t xml:space="preserve">are able </w:t>
      </w:r>
      <w:r w:rsidR="00E57890">
        <w:rPr>
          <w:rFonts w:ascii="Cambria" w:hAnsi="Cambria"/>
        </w:rPr>
        <w:t xml:space="preserve">to </w:t>
      </w:r>
      <w:r w:rsidR="00ED66F3">
        <w:rPr>
          <w:rFonts w:ascii="Cambria" w:hAnsi="Cambria"/>
        </w:rPr>
        <w:t>tackle</w:t>
      </w:r>
      <w:r w:rsidR="006E71F8" w:rsidRPr="006E71F8">
        <w:rPr>
          <w:rFonts w:ascii="Cambria" w:hAnsi="Cambria"/>
        </w:rPr>
        <w:t xml:space="preserve"> complicated issues </w:t>
      </w:r>
      <w:r w:rsidR="00D77CB5">
        <w:rPr>
          <w:rFonts w:ascii="Cambria" w:hAnsi="Cambria"/>
        </w:rPr>
        <w:t xml:space="preserve">with </w:t>
      </w:r>
      <w:r w:rsidR="00380459">
        <w:rPr>
          <w:rFonts w:ascii="Cambria" w:hAnsi="Cambria"/>
        </w:rPr>
        <w:t>technological</w:t>
      </w:r>
      <w:r w:rsidR="00D77CB5">
        <w:rPr>
          <w:rFonts w:ascii="Cambria" w:hAnsi="Cambria"/>
        </w:rPr>
        <w:t xml:space="preserve"> solutions</w:t>
      </w:r>
      <w:r w:rsidR="00A55FD9">
        <w:rPr>
          <w:rFonts w:ascii="Cambria" w:hAnsi="Cambria"/>
        </w:rPr>
        <w:t>,</w:t>
      </w:r>
      <w:r w:rsidR="006E71F8" w:rsidRPr="006E71F8">
        <w:rPr>
          <w:rFonts w:ascii="Cambria" w:hAnsi="Cambria"/>
        </w:rPr>
        <w:t xml:space="preserve"> </w:t>
      </w:r>
      <w:r w:rsidR="00A55FD9">
        <w:rPr>
          <w:rFonts w:ascii="Cambria" w:hAnsi="Cambria"/>
        </w:rPr>
        <w:t>t</w:t>
      </w:r>
      <w:r w:rsidR="008E0E2B">
        <w:rPr>
          <w:rFonts w:ascii="Cambria" w:hAnsi="Cambria"/>
        </w:rPr>
        <w:t xml:space="preserve">ransforming </w:t>
      </w:r>
      <w:r w:rsidR="006E71F8" w:rsidRPr="006E71F8">
        <w:rPr>
          <w:rFonts w:ascii="Cambria" w:hAnsi="Cambria"/>
        </w:rPr>
        <w:t>repetitive</w:t>
      </w:r>
      <w:r w:rsidR="00E11F7E">
        <w:rPr>
          <w:rFonts w:ascii="Cambria" w:hAnsi="Cambria"/>
        </w:rPr>
        <w:t>,</w:t>
      </w:r>
      <w:r w:rsidR="006E71F8" w:rsidRPr="006E71F8">
        <w:rPr>
          <w:rFonts w:ascii="Cambria" w:hAnsi="Cambria"/>
        </w:rPr>
        <w:t xml:space="preserve"> labor</w:t>
      </w:r>
      <w:r w:rsidR="00E11F7E">
        <w:rPr>
          <w:rFonts w:ascii="Cambria" w:hAnsi="Cambria"/>
        </w:rPr>
        <w:t>-</w:t>
      </w:r>
      <w:r w:rsidR="006E71F8" w:rsidRPr="006E71F8">
        <w:rPr>
          <w:rFonts w:ascii="Cambria" w:hAnsi="Cambria"/>
        </w:rPr>
        <w:t xml:space="preserve">intense practices </w:t>
      </w:r>
      <w:r w:rsidR="00380459">
        <w:rPr>
          <w:rFonts w:ascii="Cambria" w:hAnsi="Cambria"/>
        </w:rPr>
        <w:t>into</w:t>
      </w:r>
      <w:r w:rsidR="006E71F8" w:rsidRPr="006E71F8">
        <w:rPr>
          <w:rFonts w:ascii="Cambria" w:hAnsi="Cambria"/>
        </w:rPr>
        <w:t xml:space="preserve"> automate</w:t>
      </w:r>
      <w:r w:rsidR="00380459">
        <w:rPr>
          <w:rFonts w:ascii="Cambria" w:hAnsi="Cambria"/>
        </w:rPr>
        <w:t>d</w:t>
      </w:r>
      <w:r w:rsidR="006E71F8" w:rsidRPr="006E71F8">
        <w:rPr>
          <w:rFonts w:ascii="Cambria" w:hAnsi="Cambria"/>
        </w:rPr>
        <w:t xml:space="preserve"> </w:t>
      </w:r>
      <w:r w:rsidR="00380459">
        <w:rPr>
          <w:rFonts w:ascii="Cambria" w:hAnsi="Cambria"/>
        </w:rPr>
        <w:t>processes</w:t>
      </w:r>
      <w:r w:rsidR="00A55FD9">
        <w:rPr>
          <w:rFonts w:ascii="Cambria" w:hAnsi="Cambria"/>
        </w:rPr>
        <w:t xml:space="preserve"> that </w:t>
      </w:r>
      <w:r w:rsidR="00E11F7E">
        <w:rPr>
          <w:rFonts w:ascii="Cambria" w:hAnsi="Cambria"/>
        </w:rPr>
        <w:t>increas</w:t>
      </w:r>
      <w:r w:rsidR="00A55FD9">
        <w:rPr>
          <w:rFonts w:ascii="Cambria" w:hAnsi="Cambria"/>
        </w:rPr>
        <w:t>e</w:t>
      </w:r>
      <w:r w:rsidR="00E11F7E">
        <w:rPr>
          <w:rFonts w:ascii="Cambria" w:hAnsi="Cambria"/>
        </w:rPr>
        <w:t xml:space="preserve"> efficiencies and reduc</w:t>
      </w:r>
      <w:r w:rsidR="00A55FD9">
        <w:rPr>
          <w:rFonts w:ascii="Cambria" w:hAnsi="Cambria"/>
        </w:rPr>
        <w:t>e</w:t>
      </w:r>
      <w:r w:rsidR="00E11F7E">
        <w:rPr>
          <w:rFonts w:ascii="Cambria" w:hAnsi="Cambria"/>
        </w:rPr>
        <w:t xml:space="preserve"> costs in back-office functions. </w:t>
      </w:r>
      <w:r w:rsidR="00380459">
        <w:rPr>
          <w:rFonts w:ascii="Cambria" w:hAnsi="Cambria"/>
        </w:rPr>
        <w:t>Systematizing</w:t>
      </w:r>
      <w:r w:rsidR="00806C6D">
        <w:rPr>
          <w:rFonts w:ascii="Cambria" w:hAnsi="Cambria"/>
        </w:rPr>
        <w:t xml:space="preserve"> compliance </w:t>
      </w:r>
      <w:r w:rsidR="006E71F8" w:rsidRPr="006E71F8">
        <w:rPr>
          <w:rFonts w:ascii="Cambria" w:hAnsi="Cambria"/>
        </w:rPr>
        <w:t>monitoring and reporting</w:t>
      </w:r>
      <w:r w:rsidR="00806C6D">
        <w:rPr>
          <w:rFonts w:ascii="Cambria" w:hAnsi="Cambria"/>
        </w:rPr>
        <w:t>, for instance, helps free</w:t>
      </w:r>
      <w:r w:rsidR="006E71F8" w:rsidRPr="006E71F8">
        <w:rPr>
          <w:rFonts w:ascii="Cambria" w:hAnsi="Cambria"/>
        </w:rPr>
        <w:t xml:space="preserve"> up staff to focus on the high</w:t>
      </w:r>
      <w:r w:rsidR="00806C6D">
        <w:rPr>
          <w:rFonts w:ascii="Cambria" w:hAnsi="Cambria"/>
        </w:rPr>
        <w:t>-</w:t>
      </w:r>
      <w:r w:rsidR="006E71F8" w:rsidRPr="006E71F8">
        <w:rPr>
          <w:rFonts w:ascii="Cambria" w:hAnsi="Cambria"/>
        </w:rPr>
        <w:t>value exceptions</w:t>
      </w:r>
      <w:r w:rsidR="00501A17">
        <w:rPr>
          <w:rFonts w:ascii="Cambria" w:hAnsi="Cambria"/>
        </w:rPr>
        <w:t xml:space="preserve">, which results in </w:t>
      </w:r>
      <w:r w:rsidR="006E71F8" w:rsidRPr="006E71F8">
        <w:rPr>
          <w:rFonts w:ascii="Cambria" w:hAnsi="Cambria"/>
        </w:rPr>
        <w:t>improve</w:t>
      </w:r>
      <w:r w:rsidR="00501A17">
        <w:rPr>
          <w:rFonts w:ascii="Cambria" w:hAnsi="Cambria"/>
        </w:rPr>
        <w:t>d</w:t>
      </w:r>
      <w:r w:rsidR="00682072">
        <w:rPr>
          <w:rFonts w:ascii="Cambria" w:hAnsi="Cambria"/>
        </w:rPr>
        <w:t xml:space="preserve"> </w:t>
      </w:r>
      <w:r w:rsidR="006E71F8" w:rsidRPr="006E71F8">
        <w:rPr>
          <w:rFonts w:ascii="Cambria" w:hAnsi="Cambria"/>
        </w:rPr>
        <w:t>efficiency ratio</w:t>
      </w:r>
      <w:r w:rsidR="00682072">
        <w:rPr>
          <w:rFonts w:ascii="Cambria" w:hAnsi="Cambria"/>
        </w:rPr>
        <w:t>s</w:t>
      </w:r>
      <w:r w:rsidR="006E71F8" w:rsidRPr="006E71F8">
        <w:rPr>
          <w:rFonts w:ascii="Cambria" w:hAnsi="Cambria"/>
        </w:rPr>
        <w:t xml:space="preserve"> and </w:t>
      </w:r>
      <w:r w:rsidR="00682072">
        <w:rPr>
          <w:rFonts w:ascii="Cambria" w:hAnsi="Cambria"/>
        </w:rPr>
        <w:t xml:space="preserve">overall </w:t>
      </w:r>
      <w:r w:rsidR="006E71F8" w:rsidRPr="006E71F8">
        <w:rPr>
          <w:rFonts w:ascii="Cambria" w:hAnsi="Cambria"/>
        </w:rPr>
        <w:t>performance</w:t>
      </w:r>
      <w:r w:rsidR="00682072">
        <w:rPr>
          <w:rFonts w:ascii="Cambria" w:hAnsi="Cambria"/>
        </w:rPr>
        <w:t xml:space="preserve">. </w:t>
      </w:r>
    </w:p>
    <w:p w14:paraId="44D2AA5F" w14:textId="71EA5899" w:rsidR="00574FE6" w:rsidRDefault="00041C9F" w:rsidP="00D4615E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As a first step</w:t>
      </w:r>
      <w:r w:rsidR="00957244">
        <w:rPr>
          <w:rFonts w:ascii="Cambria" w:hAnsi="Cambria"/>
        </w:rPr>
        <w:t xml:space="preserve"> in selecting a compliance-centric fintech partner</w:t>
      </w:r>
      <w:r>
        <w:rPr>
          <w:rFonts w:ascii="Cambria" w:hAnsi="Cambria"/>
        </w:rPr>
        <w:t>, speak with</w:t>
      </w:r>
      <w:r w:rsidR="00957244">
        <w:rPr>
          <w:rFonts w:ascii="Cambria" w:hAnsi="Cambria"/>
        </w:rPr>
        <w:t xml:space="preserve"> </w:t>
      </w:r>
      <w:r>
        <w:rPr>
          <w:rFonts w:ascii="Cambria" w:hAnsi="Cambria"/>
        </w:rPr>
        <w:t>your team about repetitive or frustrating tasks and where pain points exist</w:t>
      </w:r>
      <w:r w:rsidR="00A55FD9">
        <w:rPr>
          <w:rFonts w:ascii="Cambria" w:hAnsi="Cambria"/>
        </w:rPr>
        <w:t xml:space="preserve"> to help </w:t>
      </w:r>
      <w:r>
        <w:rPr>
          <w:rFonts w:ascii="Cambria" w:hAnsi="Cambria"/>
        </w:rPr>
        <w:t>identify your problem areas. From there, seek out fintech specialists to address these</w:t>
      </w:r>
      <w:r w:rsidR="00437F13">
        <w:rPr>
          <w:rFonts w:ascii="Cambria" w:hAnsi="Cambria"/>
        </w:rPr>
        <w:t xml:space="preserve"> particular </w:t>
      </w:r>
      <w:r w:rsidR="00FB1936">
        <w:rPr>
          <w:rFonts w:ascii="Cambria" w:hAnsi="Cambria"/>
        </w:rPr>
        <w:t>compliance challenge</w:t>
      </w:r>
      <w:r w:rsidR="00501A17">
        <w:rPr>
          <w:rFonts w:ascii="Cambria" w:hAnsi="Cambria"/>
        </w:rPr>
        <w:t>s</w:t>
      </w:r>
      <w:r w:rsidR="00C25F63">
        <w:rPr>
          <w:rFonts w:ascii="Cambria" w:hAnsi="Cambria"/>
        </w:rPr>
        <w:t>—you want their expertise as well as their tools</w:t>
      </w:r>
      <w:r w:rsidR="00FB1936">
        <w:rPr>
          <w:rFonts w:ascii="Cambria" w:hAnsi="Cambria"/>
        </w:rPr>
        <w:t>.</w:t>
      </w:r>
      <w:r w:rsidR="00FB1936" w:rsidRPr="00FB1936">
        <w:rPr>
          <w:rFonts w:ascii="Cambria" w:hAnsi="Cambria"/>
        </w:rPr>
        <w:t xml:space="preserve"> </w:t>
      </w:r>
      <w:r w:rsidR="0070534D">
        <w:rPr>
          <w:rFonts w:ascii="Cambria" w:hAnsi="Cambria"/>
        </w:rPr>
        <w:t>Specialized fintechs</w:t>
      </w:r>
      <w:r w:rsidR="00574FE6">
        <w:rPr>
          <w:rFonts w:ascii="Cambria" w:hAnsi="Cambria"/>
        </w:rPr>
        <w:t xml:space="preserve"> not only deliver a solution, </w:t>
      </w:r>
      <w:r w:rsidR="006F3A61">
        <w:rPr>
          <w:rFonts w:ascii="Cambria" w:hAnsi="Cambria"/>
        </w:rPr>
        <w:t>but they</w:t>
      </w:r>
      <w:r w:rsidR="00574FE6">
        <w:rPr>
          <w:rFonts w:ascii="Cambria" w:hAnsi="Cambria"/>
        </w:rPr>
        <w:t xml:space="preserve"> also help you identify where there are </w:t>
      </w:r>
      <w:r w:rsidR="006E71F8" w:rsidRPr="006E71F8">
        <w:rPr>
          <w:rFonts w:ascii="Cambria" w:hAnsi="Cambria"/>
        </w:rPr>
        <w:t xml:space="preserve">potential gaps or holes </w:t>
      </w:r>
      <w:r w:rsidR="00574FE6">
        <w:rPr>
          <w:rFonts w:ascii="Cambria" w:hAnsi="Cambria"/>
        </w:rPr>
        <w:t xml:space="preserve">and where </w:t>
      </w:r>
      <w:r w:rsidR="006E71F8" w:rsidRPr="006E71F8">
        <w:rPr>
          <w:rFonts w:ascii="Cambria" w:hAnsi="Cambria"/>
        </w:rPr>
        <w:t xml:space="preserve">automating routine tasks </w:t>
      </w:r>
      <w:r w:rsidR="00A55FD9">
        <w:rPr>
          <w:rFonts w:ascii="Cambria" w:hAnsi="Cambria"/>
        </w:rPr>
        <w:t xml:space="preserve">can translate into </w:t>
      </w:r>
      <w:r w:rsidR="00574FE6">
        <w:rPr>
          <w:rFonts w:ascii="Cambria" w:hAnsi="Cambria"/>
        </w:rPr>
        <w:t>reduce</w:t>
      </w:r>
      <w:r w:rsidR="00A55FD9">
        <w:rPr>
          <w:rFonts w:ascii="Cambria" w:hAnsi="Cambria"/>
        </w:rPr>
        <w:t>d</w:t>
      </w:r>
      <w:r w:rsidR="00574FE6">
        <w:rPr>
          <w:rFonts w:ascii="Cambria" w:hAnsi="Cambria"/>
        </w:rPr>
        <w:t xml:space="preserve"> operational costs. </w:t>
      </w:r>
      <w:r w:rsidR="00B84770">
        <w:rPr>
          <w:rFonts w:ascii="Cambria" w:hAnsi="Cambria"/>
        </w:rPr>
        <w:t xml:space="preserve">The regulatory landscape is only getting more </w:t>
      </w:r>
      <w:r w:rsidR="00C83196">
        <w:rPr>
          <w:rFonts w:ascii="Cambria" w:hAnsi="Cambria"/>
        </w:rPr>
        <w:t>complex and</w:t>
      </w:r>
      <w:r w:rsidR="00B84770">
        <w:rPr>
          <w:rFonts w:ascii="Cambria" w:hAnsi="Cambria"/>
        </w:rPr>
        <w:t xml:space="preserve"> having that sort of </w:t>
      </w:r>
      <w:r w:rsidR="006F33F4">
        <w:rPr>
          <w:rFonts w:ascii="Cambria" w:hAnsi="Cambria"/>
        </w:rPr>
        <w:t>dedicated</w:t>
      </w:r>
      <w:r w:rsidR="00B84770">
        <w:rPr>
          <w:rFonts w:ascii="Cambria" w:hAnsi="Cambria"/>
        </w:rPr>
        <w:t xml:space="preserve"> expertise will help </w:t>
      </w:r>
      <w:r w:rsidR="00447FF7">
        <w:rPr>
          <w:rFonts w:ascii="Cambria" w:hAnsi="Cambria"/>
        </w:rPr>
        <w:t>prepare</w:t>
      </w:r>
      <w:r w:rsidR="00B84770">
        <w:rPr>
          <w:rFonts w:ascii="Cambria" w:hAnsi="Cambria"/>
        </w:rPr>
        <w:t xml:space="preserve"> you for what’s to come. </w:t>
      </w:r>
    </w:p>
    <w:p w14:paraId="4A5E00D9" w14:textId="3B9BCE0B" w:rsidR="00092810" w:rsidRPr="006F506E" w:rsidRDefault="00092810" w:rsidP="00092810">
      <w:pPr>
        <w:spacing w:line="276" w:lineRule="auto"/>
        <w:rPr>
          <w:rFonts w:ascii="Cambria" w:hAnsi="Cambria"/>
          <w:b/>
          <w:bCs/>
        </w:rPr>
      </w:pPr>
      <w:r w:rsidRPr="006F506E">
        <w:rPr>
          <w:rFonts w:ascii="Cambria" w:hAnsi="Cambria"/>
          <w:b/>
          <w:bCs/>
        </w:rPr>
        <w:t>[</w:t>
      </w:r>
      <w:proofErr w:type="spellStart"/>
      <w:r w:rsidRPr="006F506E">
        <w:rPr>
          <w:rFonts w:ascii="Cambria" w:hAnsi="Cambria"/>
          <w:b/>
          <w:bCs/>
        </w:rPr>
        <w:t>subhed</w:t>
      </w:r>
      <w:proofErr w:type="spellEnd"/>
      <w:r w:rsidRPr="006F506E">
        <w:rPr>
          <w:rFonts w:ascii="Cambria" w:hAnsi="Cambria"/>
          <w:b/>
          <w:bCs/>
        </w:rPr>
        <w:t xml:space="preserve">] </w:t>
      </w:r>
      <w:r>
        <w:rPr>
          <w:rFonts w:ascii="Cambria" w:hAnsi="Cambria"/>
          <w:b/>
          <w:bCs/>
        </w:rPr>
        <w:t xml:space="preserve">Strategic partnerships </w:t>
      </w:r>
    </w:p>
    <w:p w14:paraId="13471455" w14:textId="77777777" w:rsidR="00092810" w:rsidRDefault="00092810" w:rsidP="005F65A6">
      <w:pPr>
        <w:spacing w:line="276" w:lineRule="auto"/>
        <w:rPr>
          <w:rFonts w:ascii="Cambria" w:hAnsi="Cambria"/>
        </w:rPr>
      </w:pPr>
    </w:p>
    <w:p w14:paraId="7FFFC4E0" w14:textId="675A6D67" w:rsidR="008B4A33" w:rsidRDefault="001D1EFB" w:rsidP="00D4615E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lastRenderedPageBreak/>
        <w:t>At</w:t>
      </w:r>
      <w:r w:rsidR="006F33F4">
        <w:rPr>
          <w:rFonts w:ascii="Cambria" w:hAnsi="Cambria"/>
        </w:rPr>
        <w:t xml:space="preserve"> ICBA Innovation,</w:t>
      </w:r>
      <w:r w:rsidR="00447FF7">
        <w:rPr>
          <w:rFonts w:ascii="Cambria" w:hAnsi="Cambria"/>
        </w:rPr>
        <w:t xml:space="preserve"> </w:t>
      </w:r>
      <w:r w:rsidR="00F32C0E">
        <w:rPr>
          <w:rFonts w:ascii="Cambria" w:hAnsi="Cambria"/>
        </w:rPr>
        <w:t>we have a conti</w:t>
      </w:r>
      <w:r w:rsidR="00F32C0E" w:rsidRPr="00F32C0E">
        <w:rPr>
          <w:rFonts w:ascii="Cambria" w:hAnsi="Cambria"/>
        </w:rPr>
        <w:t xml:space="preserve">nuing commitment to </w:t>
      </w:r>
      <w:r w:rsidR="00447FF7">
        <w:rPr>
          <w:rFonts w:ascii="Cambria" w:hAnsi="Cambria"/>
        </w:rPr>
        <w:t>seeking</w:t>
      </w:r>
      <w:r w:rsidR="00E319A8">
        <w:rPr>
          <w:rFonts w:ascii="Cambria" w:hAnsi="Cambria"/>
        </w:rPr>
        <w:t xml:space="preserve"> out providers who can help you</w:t>
      </w:r>
      <w:r w:rsidR="00F32C0E">
        <w:rPr>
          <w:rFonts w:ascii="Cambria" w:hAnsi="Cambria"/>
        </w:rPr>
        <w:t xml:space="preserve">. </w:t>
      </w:r>
      <w:r w:rsidR="00A55FD9">
        <w:rPr>
          <w:rFonts w:ascii="Cambria" w:hAnsi="Cambria"/>
        </w:rPr>
        <w:t>O</w:t>
      </w:r>
      <w:r w:rsidR="00F32C0E">
        <w:rPr>
          <w:rFonts w:ascii="Cambria" w:hAnsi="Cambria"/>
        </w:rPr>
        <w:t>ur</w:t>
      </w:r>
      <w:r w:rsidR="00F32C0E" w:rsidRPr="00F32C0E">
        <w:rPr>
          <w:rFonts w:ascii="Cambria" w:hAnsi="Cambria"/>
        </w:rPr>
        <w:t xml:space="preserve"> solution forums</w:t>
      </w:r>
      <w:r w:rsidR="00A55FD9">
        <w:rPr>
          <w:rFonts w:ascii="Cambria" w:hAnsi="Cambria"/>
        </w:rPr>
        <w:t xml:space="preserve">, like our </w:t>
      </w:r>
      <w:hyperlink r:id="rId9" w:history="1">
        <w:r w:rsidR="00A55FD9" w:rsidRPr="00A55FD9">
          <w:rPr>
            <w:rStyle w:val="Hyperlink"/>
            <w:rFonts w:ascii="Cambria" w:hAnsi="Cambria"/>
          </w:rPr>
          <w:t>Faster Payments Forum</w:t>
        </w:r>
      </w:hyperlink>
      <w:r w:rsidR="004339C0">
        <w:rPr>
          <w:rStyle w:val="Hyperlink"/>
          <w:rFonts w:ascii="Cambria" w:hAnsi="Cambria"/>
        </w:rPr>
        <w:t xml:space="preserve"> (&lt;i&gt;</w:t>
      </w:r>
      <w:r w:rsidR="004339C0" w:rsidRPr="004339C0">
        <w:rPr>
          <w:rStyle w:val="Hyperlink"/>
          <w:rFonts w:ascii="Cambria" w:hAnsi="Cambria"/>
        </w:rPr>
        <w:t>icba.org/all-products/product-details/solutions-forum-faster-payments</w:t>
      </w:r>
      <w:r w:rsidR="004339C0">
        <w:rPr>
          <w:rStyle w:val="Hyperlink"/>
          <w:rFonts w:ascii="Cambria" w:hAnsi="Cambria"/>
        </w:rPr>
        <w:t>&lt;i&gt;)</w:t>
      </w:r>
      <w:r w:rsidR="00A55FD9">
        <w:rPr>
          <w:rFonts w:ascii="Cambria" w:hAnsi="Cambria"/>
        </w:rPr>
        <w:t xml:space="preserve"> </w:t>
      </w:r>
      <w:r w:rsidR="004D58BF">
        <w:rPr>
          <w:rFonts w:ascii="Cambria" w:hAnsi="Cambria"/>
        </w:rPr>
        <w:t>last</w:t>
      </w:r>
      <w:r w:rsidR="00A55FD9">
        <w:rPr>
          <w:rFonts w:ascii="Cambria" w:hAnsi="Cambria"/>
        </w:rPr>
        <w:t xml:space="preserve"> year</w:t>
      </w:r>
      <w:r w:rsidR="00685A70">
        <w:rPr>
          <w:rFonts w:ascii="Cambria" w:hAnsi="Cambria"/>
        </w:rPr>
        <w:t>,</w:t>
      </w:r>
      <w:r w:rsidR="00F32C0E" w:rsidRPr="00F32C0E">
        <w:rPr>
          <w:rFonts w:ascii="Cambria" w:hAnsi="Cambria"/>
        </w:rPr>
        <w:t xml:space="preserve"> are </w:t>
      </w:r>
      <w:r w:rsidR="00F32C0E">
        <w:rPr>
          <w:rFonts w:ascii="Cambria" w:hAnsi="Cambria"/>
        </w:rPr>
        <w:t>designed to</w:t>
      </w:r>
      <w:r w:rsidR="00F32C0E" w:rsidRPr="00F32C0E">
        <w:rPr>
          <w:rFonts w:ascii="Cambria" w:hAnsi="Cambria"/>
        </w:rPr>
        <w:t xml:space="preserve"> </w:t>
      </w:r>
      <w:r w:rsidR="00F32C0E">
        <w:rPr>
          <w:rFonts w:ascii="Cambria" w:hAnsi="Cambria"/>
        </w:rPr>
        <w:t>take</w:t>
      </w:r>
      <w:r w:rsidR="00F32C0E" w:rsidRPr="00F32C0E">
        <w:rPr>
          <w:rFonts w:ascii="Cambria" w:hAnsi="Cambria"/>
        </w:rPr>
        <w:t xml:space="preserve"> current trends a</w:t>
      </w:r>
      <w:r w:rsidR="00F32C0E">
        <w:rPr>
          <w:rFonts w:ascii="Cambria" w:hAnsi="Cambria"/>
        </w:rPr>
        <w:t>nd address</w:t>
      </w:r>
      <w:r w:rsidR="00F32C0E" w:rsidRPr="00F32C0E">
        <w:rPr>
          <w:rFonts w:ascii="Cambria" w:hAnsi="Cambria"/>
        </w:rPr>
        <w:t xml:space="preserve"> </w:t>
      </w:r>
      <w:r w:rsidR="0000012C">
        <w:rPr>
          <w:rFonts w:ascii="Cambria" w:hAnsi="Cambria"/>
        </w:rPr>
        <w:t xml:space="preserve">the </w:t>
      </w:r>
      <w:r w:rsidR="00F32C0E" w:rsidRPr="00F32C0E">
        <w:rPr>
          <w:rFonts w:ascii="Cambria" w:hAnsi="Cambria"/>
        </w:rPr>
        <w:t xml:space="preserve">issues </w:t>
      </w:r>
      <w:r w:rsidR="005F65A6">
        <w:rPr>
          <w:rFonts w:ascii="Cambria" w:hAnsi="Cambria"/>
        </w:rPr>
        <w:t xml:space="preserve">that are </w:t>
      </w:r>
      <w:r w:rsidR="00F32C0E" w:rsidRPr="00F32C0E">
        <w:rPr>
          <w:rFonts w:ascii="Cambria" w:hAnsi="Cambria"/>
        </w:rPr>
        <w:t xml:space="preserve">important to </w:t>
      </w:r>
      <w:r w:rsidR="0000012C">
        <w:rPr>
          <w:rFonts w:ascii="Cambria" w:hAnsi="Cambria"/>
        </w:rPr>
        <w:t xml:space="preserve">our </w:t>
      </w:r>
      <w:r w:rsidR="00F32C0E" w:rsidRPr="00F32C0E">
        <w:rPr>
          <w:rFonts w:ascii="Cambria" w:hAnsi="Cambria"/>
        </w:rPr>
        <w:t>bankers</w:t>
      </w:r>
      <w:r w:rsidR="008B4A33">
        <w:rPr>
          <w:rFonts w:ascii="Cambria" w:hAnsi="Cambria"/>
        </w:rPr>
        <w:t>.</w:t>
      </w:r>
      <w:r w:rsidR="00DD0F82">
        <w:rPr>
          <w:rFonts w:ascii="Cambria" w:hAnsi="Cambria"/>
        </w:rPr>
        <w:t xml:space="preserve"> The </w:t>
      </w:r>
      <w:r w:rsidR="005F65A6">
        <w:rPr>
          <w:rFonts w:ascii="Cambria" w:hAnsi="Cambria"/>
        </w:rPr>
        <w:t xml:space="preserve">featured </w:t>
      </w:r>
      <w:r w:rsidR="00DD0F82">
        <w:rPr>
          <w:rFonts w:ascii="Cambria" w:hAnsi="Cambria"/>
        </w:rPr>
        <w:t>providers</w:t>
      </w:r>
      <w:r w:rsidR="00C0514D">
        <w:rPr>
          <w:rFonts w:ascii="Cambria" w:hAnsi="Cambria"/>
        </w:rPr>
        <w:t xml:space="preserve"> help </w:t>
      </w:r>
      <w:r w:rsidR="003C0C92">
        <w:rPr>
          <w:rFonts w:ascii="Cambria" w:hAnsi="Cambria"/>
        </w:rPr>
        <w:t>solve specific</w:t>
      </w:r>
      <w:r w:rsidR="00C0514D">
        <w:rPr>
          <w:rFonts w:ascii="Cambria" w:hAnsi="Cambria"/>
        </w:rPr>
        <w:t xml:space="preserve"> problems</w:t>
      </w:r>
      <w:r w:rsidR="00024E32">
        <w:rPr>
          <w:rFonts w:ascii="Cambria" w:hAnsi="Cambria"/>
        </w:rPr>
        <w:t>, which may make all the difference</w:t>
      </w:r>
      <w:r w:rsidR="00C0514D">
        <w:rPr>
          <w:rFonts w:ascii="Cambria" w:hAnsi="Cambria"/>
        </w:rPr>
        <w:t>. Because</w:t>
      </w:r>
      <w:r w:rsidR="00DD0F82">
        <w:rPr>
          <w:rFonts w:ascii="Cambria" w:hAnsi="Cambria"/>
        </w:rPr>
        <w:t xml:space="preserve"> a</w:t>
      </w:r>
      <w:r w:rsidR="0000012C">
        <w:rPr>
          <w:rFonts w:ascii="Cambria" w:hAnsi="Cambria"/>
        </w:rPr>
        <w:t xml:space="preserve">s </w:t>
      </w:r>
      <w:r w:rsidR="006B0F00">
        <w:rPr>
          <w:rFonts w:ascii="Cambria" w:hAnsi="Cambria"/>
        </w:rPr>
        <w:t>regulatory pressures</w:t>
      </w:r>
      <w:r w:rsidR="0000012C">
        <w:rPr>
          <w:rFonts w:ascii="Cambria" w:hAnsi="Cambria"/>
        </w:rPr>
        <w:t xml:space="preserve"> </w:t>
      </w:r>
      <w:r w:rsidR="006B0F00">
        <w:rPr>
          <w:rFonts w:ascii="Cambria" w:hAnsi="Cambria"/>
        </w:rPr>
        <w:t xml:space="preserve">mount, having fintech </w:t>
      </w:r>
      <w:r w:rsidR="00DA60A0">
        <w:rPr>
          <w:rFonts w:ascii="Cambria" w:hAnsi="Cambria"/>
        </w:rPr>
        <w:t>partners to support you will free</w:t>
      </w:r>
      <w:r w:rsidR="00D27B97">
        <w:rPr>
          <w:rFonts w:ascii="Cambria" w:hAnsi="Cambria"/>
        </w:rPr>
        <w:t xml:space="preserve"> you </w:t>
      </w:r>
      <w:r w:rsidR="00DA60A0">
        <w:rPr>
          <w:rFonts w:ascii="Cambria" w:hAnsi="Cambria"/>
        </w:rPr>
        <w:t>to</w:t>
      </w:r>
      <w:r w:rsidR="00F603FA">
        <w:rPr>
          <w:rFonts w:ascii="Cambria" w:hAnsi="Cambria"/>
        </w:rPr>
        <w:t xml:space="preserve"> direct </w:t>
      </w:r>
      <w:r w:rsidR="00DA60A0">
        <w:rPr>
          <w:rFonts w:ascii="Cambria" w:hAnsi="Cambria"/>
        </w:rPr>
        <w:t>r</w:t>
      </w:r>
      <w:r w:rsidR="00F603FA">
        <w:rPr>
          <w:rFonts w:ascii="Cambria" w:hAnsi="Cambria"/>
        </w:rPr>
        <w:t>esource</w:t>
      </w:r>
      <w:r w:rsidR="0047025E">
        <w:rPr>
          <w:rFonts w:ascii="Cambria" w:hAnsi="Cambria"/>
        </w:rPr>
        <w:t>s to</w:t>
      </w:r>
      <w:r w:rsidR="00F603FA">
        <w:rPr>
          <w:rFonts w:ascii="Cambria" w:hAnsi="Cambria"/>
        </w:rPr>
        <w:t xml:space="preserve"> </w:t>
      </w:r>
      <w:r w:rsidR="00B55E77">
        <w:rPr>
          <w:rFonts w:ascii="Cambria" w:hAnsi="Cambria"/>
        </w:rPr>
        <w:t xml:space="preserve">what matters most: </w:t>
      </w:r>
      <w:r w:rsidR="00DD0F82">
        <w:rPr>
          <w:rFonts w:ascii="Cambria" w:hAnsi="Cambria"/>
        </w:rPr>
        <w:t>provid</w:t>
      </w:r>
      <w:r w:rsidR="0047025E">
        <w:rPr>
          <w:rFonts w:ascii="Cambria" w:hAnsi="Cambria"/>
        </w:rPr>
        <w:t>ing</w:t>
      </w:r>
      <w:r w:rsidR="00B55E77">
        <w:rPr>
          <w:rFonts w:ascii="Cambria" w:hAnsi="Cambria"/>
        </w:rPr>
        <w:t xml:space="preserve"> </w:t>
      </w:r>
      <w:r w:rsidR="00637289">
        <w:rPr>
          <w:rFonts w:ascii="Cambria" w:hAnsi="Cambria"/>
        </w:rPr>
        <w:t xml:space="preserve">services </w:t>
      </w:r>
      <w:r w:rsidR="00F603FA">
        <w:rPr>
          <w:rFonts w:ascii="Cambria" w:hAnsi="Cambria"/>
        </w:rPr>
        <w:t xml:space="preserve">that </w:t>
      </w:r>
      <w:r w:rsidR="00DA60A0">
        <w:rPr>
          <w:rFonts w:ascii="Cambria" w:hAnsi="Cambria"/>
        </w:rPr>
        <w:t>support</w:t>
      </w:r>
      <w:r w:rsidR="00637289">
        <w:rPr>
          <w:rFonts w:ascii="Cambria" w:hAnsi="Cambria"/>
        </w:rPr>
        <w:t xml:space="preserve"> </w:t>
      </w:r>
      <w:r w:rsidR="00F603FA">
        <w:rPr>
          <w:rFonts w:ascii="Cambria" w:hAnsi="Cambria"/>
        </w:rPr>
        <w:t>your</w:t>
      </w:r>
      <w:r w:rsidR="00637289">
        <w:rPr>
          <w:rFonts w:ascii="Cambria" w:hAnsi="Cambria"/>
        </w:rPr>
        <w:t xml:space="preserve"> customers and communities. </w:t>
      </w:r>
    </w:p>
    <w:p w14:paraId="008D922E" w14:textId="5E0F13AD" w:rsidR="005F65A6" w:rsidRPr="00D4615E" w:rsidRDefault="005F65A6" w:rsidP="00D4615E">
      <w:pPr>
        <w:spacing w:line="276" w:lineRule="auto"/>
        <w:rPr>
          <w:rFonts w:ascii="Cambria" w:hAnsi="Cambria"/>
          <w:i/>
          <w:iCs/>
        </w:rPr>
      </w:pPr>
      <w:r w:rsidRPr="00D4615E">
        <w:rPr>
          <w:rFonts w:ascii="Cambria" w:hAnsi="Cambria"/>
          <w:b/>
          <w:bCs/>
          <w:i/>
          <w:iCs/>
        </w:rPr>
        <w:t>Charles E. Potts</w:t>
      </w:r>
      <w:r w:rsidRPr="00D4615E">
        <w:rPr>
          <w:rFonts w:ascii="Cambria" w:hAnsi="Cambria"/>
          <w:i/>
          <w:iCs/>
        </w:rPr>
        <w:t xml:space="preserve"> is ICBA’s executive vice president and chief innovation officer.</w:t>
      </w:r>
    </w:p>
    <w:p w14:paraId="6759F865" w14:textId="51DB1D59" w:rsidR="005F65A6" w:rsidRDefault="005F65A6" w:rsidP="00D4615E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[ends]</w:t>
      </w:r>
    </w:p>
    <w:p w14:paraId="754F028B" w14:textId="77777777" w:rsidR="008B4A33" w:rsidRDefault="008B4A33" w:rsidP="00D4615E">
      <w:pPr>
        <w:spacing w:line="276" w:lineRule="auto"/>
        <w:rPr>
          <w:rFonts w:ascii="Cambria" w:hAnsi="Cambria"/>
        </w:rPr>
      </w:pPr>
    </w:p>
    <w:p w14:paraId="6239CCFD" w14:textId="677CF82A" w:rsidR="000A4BC9" w:rsidRPr="00D4615E" w:rsidRDefault="005F65A6" w:rsidP="00D4615E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[s</w:t>
      </w:r>
      <w:r w:rsidR="000A4BC9" w:rsidRPr="00D4615E">
        <w:rPr>
          <w:rFonts w:ascii="Cambria" w:hAnsi="Cambria"/>
        </w:rPr>
        <w:t>idebar</w:t>
      </w:r>
      <w:r>
        <w:rPr>
          <w:rFonts w:ascii="Cambria" w:hAnsi="Cambria"/>
        </w:rPr>
        <w:t>]</w:t>
      </w:r>
    </w:p>
    <w:p w14:paraId="704FEB8E" w14:textId="65717DE1" w:rsidR="0088283A" w:rsidRDefault="000A4BC9" w:rsidP="00D4615E">
      <w:pPr>
        <w:spacing w:line="276" w:lineRule="auto"/>
        <w:rPr>
          <w:rFonts w:ascii="Cambria" w:hAnsi="Cambria"/>
          <w:b/>
          <w:bCs/>
        </w:rPr>
      </w:pPr>
      <w:r w:rsidRPr="00685A70">
        <w:rPr>
          <w:rFonts w:ascii="Cambria" w:hAnsi="Cambria"/>
          <w:b/>
          <w:bCs/>
        </w:rPr>
        <w:t>ICBA</w:t>
      </w:r>
      <w:r w:rsidR="00CE3381" w:rsidRPr="00685A70">
        <w:rPr>
          <w:rFonts w:ascii="Cambria" w:hAnsi="Cambria"/>
          <w:b/>
          <w:bCs/>
        </w:rPr>
        <w:t xml:space="preserve"> Solution Directory </w:t>
      </w:r>
      <w:r w:rsidR="005F65A6">
        <w:rPr>
          <w:rFonts w:ascii="Cambria" w:hAnsi="Cambria"/>
          <w:b/>
          <w:bCs/>
        </w:rPr>
        <w:t>d</w:t>
      </w:r>
      <w:r w:rsidR="00ED528B">
        <w:rPr>
          <w:rFonts w:ascii="Cambria" w:hAnsi="Cambria"/>
          <w:b/>
          <w:bCs/>
        </w:rPr>
        <w:t xml:space="preserve">elivers </w:t>
      </w:r>
      <w:r w:rsidR="005F65A6">
        <w:rPr>
          <w:rFonts w:ascii="Cambria" w:hAnsi="Cambria"/>
          <w:b/>
          <w:bCs/>
        </w:rPr>
        <w:t>v</w:t>
      </w:r>
      <w:r w:rsidR="00ED528B">
        <w:rPr>
          <w:rFonts w:ascii="Cambria" w:hAnsi="Cambria"/>
          <w:b/>
          <w:bCs/>
        </w:rPr>
        <w:t>etted</w:t>
      </w:r>
      <w:r w:rsidR="00685A70" w:rsidRPr="00685A70">
        <w:rPr>
          <w:rFonts w:ascii="Cambria" w:hAnsi="Cambria"/>
          <w:b/>
          <w:bCs/>
        </w:rPr>
        <w:t xml:space="preserve"> </w:t>
      </w:r>
      <w:r w:rsidR="005F65A6">
        <w:rPr>
          <w:rFonts w:ascii="Cambria" w:hAnsi="Cambria"/>
          <w:b/>
          <w:bCs/>
        </w:rPr>
        <w:t>p</w:t>
      </w:r>
      <w:r w:rsidR="00685A70" w:rsidRPr="00685A70">
        <w:rPr>
          <w:rFonts w:ascii="Cambria" w:hAnsi="Cambria"/>
          <w:b/>
          <w:bCs/>
        </w:rPr>
        <w:t>roviders</w:t>
      </w:r>
    </w:p>
    <w:p w14:paraId="19712610" w14:textId="7AF8E2D4" w:rsidR="00685A70" w:rsidRDefault="00685A70" w:rsidP="00D4615E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Sometimes the hardest step in </w:t>
      </w:r>
      <w:r w:rsidR="005F7993">
        <w:rPr>
          <w:rFonts w:ascii="Cambria" w:hAnsi="Cambria"/>
        </w:rPr>
        <w:t>introducing a new compliance</w:t>
      </w:r>
      <w:r>
        <w:rPr>
          <w:rFonts w:ascii="Cambria" w:hAnsi="Cambria"/>
        </w:rPr>
        <w:t xml:space="preserve"> product is identifying the right partner. The </w:t>
      </w:r>
      <w:r w:rsidRPr="00D037C4">
        <w:rPr>
          <w:rFonts w:ascii="Cambria" w:hAnsi="Cambria"/>
        </w:rPr>
        <w:t>ICBA Solution Directory</w:t>
      </w:r>
      <w:r>
        <w:rPr>
          <w:rFonts w:ascii="Cambria" w:hAnsi="Cambria"/>
        </w:rPr>
        <w:t xml:space="preserve"> simplifies that process for you</w:t>
      </w:r>
      <w:r w:rsidR="00BF52C7">
        <w:rPr>
          <w:rFonts w:ascii="Cambria" w:hAnsi="Cambria"/>
        </w:rPr>
        <w:t xml:space="preserve">, providing </w:t>
      </w:r>
      <w:r w:rsidR="00FB5881">
        <w:rPr>
          <w:rFonts w:ascii="Cambria" w:hAnsi="Cambria"/>
        </w:rPr>
        <w:t xml:space="preserve">vetted </w:t>
      </w:r>
      <w:r w:rsidR="00BF52C7" w:rsidRPr="00BF52C7">
        <w:rPr>
          <w:rFonts w:ascii="Cambria" w:hAnsi="Cambria"/>
        </w:rPr>
        <w:t>community bank solutions</w:t>
      </w:r>
      <w:r w:rsidR="00BF52C7">
        <w:rPr>
          <w:rFonts w:ascii="Cambria" w:hAnsi="Cambria"/>
        </w:rPr>
        <w:t xml:space="preserve"> </w:t>
      </w:r>
      <w:r w:rsidR="00BF52C7" w:rsidRPr="00BF52C7">
        <w:rPr>
          <w:rFonts w:ascii="Cambria" w:hAnsi="Cambria"/>
        </w:rPr>
        <w:t>at your fingertips</w:t>
      </w:r>
      <w:r w:rsidR="00D037C4">
        <w:rPr>
          <w:rFonts w:ascii="Cambria" w:hAnsi="Cambria"/>
        </w:rPr>
        <w:t xml:space="preserve">. Visit </w:t>
      </w:r>
      <w:hyperlink r:id="rId10" w:history="1">
        <w:r w:rsidR="004339C0">
          <w:rPr>
            <w:rStyle w:val="Hyperlink"/>
            <w:rFonts w:ascii="Cambria" w:hAnsi="Cambria"/>
          </w:rPr>
          <w:t>&lt;</w:t>
        </w:r>
        <w:proofErr w:type="spellStart"/>
        <w:r w:rsidR="004339C0">
          <w:rPr>
            <w:rStyle w:val="Hyperlink"/>
            <w:rFonts w:ascii="Cambria" w:hAnsi="Cambria"/>
          </w:rPr>
          <w:t>i</w:t>
        </w:r>
        <w:proofErr w:type="spellEnd"/>
        <w:r w:rsidR="004339C0">
          <w:rPr>
            <w:rStyle w:val="Hyperlink"/>
            <w:rFonts w:ascii="Cambria" w:hAnsi="Cambria"/>
          </w:rPr>
          <w:t>&gt;</w:t>
        </w:r>
        <w:r w:rsidR="00D037C4" w:rsidRPr="0041161C">
          <w:rPr>
            <w:rStyle w:val="Hyperlink"/>
            <w:rFonts w:ascii="Cambria" w:hAnsi="Cambria"/>
          </w:rPr>
          <w:t>solutions.icba.org</w:t>
        </w:r>
        <w:r w:rsidR="004339C0">
          <w:rPr>
            <w:rStyle w:val="Hyperlink"/>
            <w:rFonts w:ascii="Cambria" w:hAnsi="Cambria"/>
          </w:rPr>
          <w:t>&lt;</w:t>
        </w:r>
        <w:proofErr w:type="spellStart"/>
        <w:r w:rsidR="004339C0">
          <w:rPr>
            <w:rStyle w:val="Hyperlink"/>
            <w:rFonts w:ascii="Cambria" w:hAnsi="Cambria"/>
          </w:rPr>
          <w:t>i</w:t>
        </w:r>
        <w:proofErr w:type="spellEnd"/>
        <w:r w:rsidR="004339C0">
          <w:rPr>
            <w:rStyle w:val="Hyperlink"/>
            <w:rFonts w:ascii="Cambria" w:hAnsi="Cambria"/>
          </w:rPr>
          <w:t>&gt;</w:t>
        </w:r>
      </w:hyperlink>
      <w:r w:rsidR="00D037C4">
        <w:rPr>
          <w:rFonts w:ascii="Cambria" w:hAnsi="Cambria"/>
        </w:rPr>
        <w:t xml:space="preserve"> for more. </w:t>
      </w:r>
    </w:p>
    <w:p w14:paraId="4AD49A67" w14:textId="77777777" w:rsidR="005F65A6" w:rsidRPr="00685A70" w:rsidRDefault="005F65A6" w:rsidP="00D4615E">
      <w:pPr>
        <w:spacing w:line="240" w:lineRule="auto"/>
        <w:rPr>
          <w:rFonts w:ascii="Cambria" w:hAnsi="Cambria"/>
        </w:rPr>
      </w:pPr>
    </w:p>
    <w:sectPr w:rsidR="005F65A6" w:rsidRPr="00685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47"/>
    <w:rsid w:val="0000012C"/>
    <w:rsid w:val="00020362"/>
    <w:rsid w:val="00024E32"/>
    <w:rsid w:val="00041C9F"/>
    <w:rsid w:val="00054BE6"/>
    <w:rsid w:val="00057618"/>
    <w:rsid w:val="00063816"/>
    <w:rsid w:val="00092810"/>
    <w:rsid w:val="000A4BC9"/>
    <w:rsid w:val="000B38C9"/>
    <w:rsid w:val="000F7B7D"/>
    <w:rsid w:val="001240C5"/>
    <w:rsid w:val="00137088"/>
    <w:rsid w:val="0018224C"/>
    <w:rsid w:val="001B62DB"/>
    <w:rsid w:val="001C2531"/>
    <w:rsid w:val="001C3E66"/>
    <w:rsid w:val="001D1EFB"/>
    <w:rsid w:val="00207426"/>
    <w:rsid w:val="002900BD"/>
    <w:rsid w:val="00296D9C"/>
    <w:rsid w:val="003064F3"/>
    <w:rsid w:val="0031130B"/>
    <w:rsid w:val="003113CF"/>
    <w:rsid w:val="00326C01"/>
    <w:rsid w:val="003464BD"/>
    <w:rsid w:val="00363C23"/>
    <w:rsid w:val="00373347"/>
    <w:rsid w:val="00380459"/>
    <w:rsid w:val="003B0DFF"/>
    <w:rsid w:val="003C0C92"/>
    <w:rsid w:val="00413219"/>
    <w:rsid w:val="004339C0"/>
    <w:rsid w:val="00433A93"/>
    <w:rsid w:val="00437F13"/>
    <w:rsid w:val="00447FF7"/>
    <w:rsid w:val="0046527C"/>
    <w:rsid w:val="00467417"/>
    <w:rsid w:val="0047025E"/>
    <w:rsid w:val="004D58BF"/>
    <w:rsid w:val="004E1193"/>
    <w:rsid w:val="00501A17"/>
    <w:rsid w:val="005649D5"/>
    <w:rsid w:val="00574FE6"/>
    <w:rsid w:val="005F65A6"/>
    <w:rsid w:val="005F7993"/>
    <w:rsid w:val="006014BF"/>
    <w:rsid w:val="00601911"/>
    <w:rsid w:val="00637289"/>
    <w:rsid w:val="00642B9B"/>
    <w:rsid w:val="00673D41"/>
    <w:rsid w:val="00682072"/>
    <w:rsid w:val="00683306"/>
    <w:rsid w:val="00685A70"/>
    <w:rsid w:val="00690BE0"/>
    <w:rsid w:val="006B0F00"/>
    <w:rsid w:val="006D767A"/>
    <w:rsid w:val="006E0B8D"/>
    <w:rsid w:val="006E71F8"/>
    <w:rsid w:val="006F33F4"/>
    <w:rsid w:val="006F3A61"/>
    <w:rsid w:val="0070534D"/>
    <w:rsid w:val="007150FA"/>
    <w:rsid w:val="00726E42"/>
    <w:rsid w:val="00746CD1"/>
    <w:rsid w:val="007B3F3E"/>
    <w:rsid w:val="00806C6D"/>
    <w:rsid w:val="0087541F"/>
    <w:rsid w:val="0088283A"/>
    <w:rsid w:val="008A236E"/>
    <w:rsid w:val="008B4A33"/>
    <w:rsid w:val="008C33FE"/>
    <w:rsid w:val="008E0E2B"/>
    <w:rsid w:val="00957244"/>
    <w:rsid w:val="00975F93"/>
    <w:rsid w:val="0098745D"/>
    <w:rsid w:val="009E0674"/>
    <w:rsid w:val="00A55FD9"/>
    <w:rsid w:val="00A76100"/>
    <w:rsid w:val="00AA1AD0"/>
    <w:rsid w:val="00AA77F8"/>
    <w:rsid w:val="00B54A12"/>
    <w:rsid w:val="00B55E77"/>
    <w:rsid w:val="00B8199E"/>
    <w:rsid w:val="00B84770"/>
    <w:rsid w:val="00BA715B"/>
    <w:rsid w:val="00BF52C7"/>
    <w:rsid w:val="00BF78B6"/>
    <w:rsid w:val="00C0514D"/>
    <w:rsid w:val="00C2509A"/>
    <w:rsid w:val="00C25F63"/>
    <w:rsid w:val="00C57B4A"/>
    <w:rsid w:val="00C83196"/>
    <w:rsid w:val="00C93A28"/>
    <w:rsid w:val="00CB6211"/>
    <w:rsid w:val="00CE3381"/>
    <w:rsid w:val="00D037C4"/>
    <w:rsid w:val="00D07BEA"/>
    <w:rsid w:val="00D123EF"/>
    <w:rsid w:val="00D27B97"/>
    <w:rsid w:val="00D4615E"/>
    <w:rsid w:val="00D77CB5"/>
    <w:rsid w:val="00DA60A0"/>
    <w:rsid w:val="00DD0F82"/>
    <w:rsid w:val="00E11F7E"/>
    <w:rsid w:val="00E21A45"/>
    <w:rsid w:val="00E319A8"/>
    <w:rsid w:val="00E42061"/>
    <w:rsid w:val="00E55C41"/>
    <w:rsid w:val="00E57890"/>
    <w:rsid w:val="00E603C5"/>
    <w:rsid w:val="00E74266"/>
    <w:rsid w:val="00ED528B"/>
    <w:rsid w:val="00ED66F3"/>
    <w:rsid w:val="00EE6CE0"/>
    <w:rsid w:val="00EF3463"/>
    <w:rsid w:val="00EF57D2"/>
    <w:rsid w:val="00F104B6"/>
    <w:rsid w:val="00F32C0E"/>
    <w:rsid w:val="00F5535E"/>
    <w:rsid w:val="00F603FA"/>
    <w:rsid w:val="00F85575"/>
    <w:rsid w:val="00FB1936"/>
    <w:rsid w:val="00FB5881"/>
    <w:rsid w:val="00FE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37896"/>
  <w15:chartTrackingRefBased/>
  <w15:docId w15:val="{F14E94F5-4EB2-4040-B5A6-129CB9DF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33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3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3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3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3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3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3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3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3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3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3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3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3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3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3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3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33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3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3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3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33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33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33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3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3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33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6C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CE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07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74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74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42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42B9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F65A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skscout.com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finosec.com/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olutions.icba.org/" TargetMode="External"/><Relationship Id="rId4" Type="http://schemas.openxmlformats.org/officeDocument/2006/relationships/styles" Target="styles.xml"/><Relationship Id="rId9" Type="http://schemas.openxmlformats.org/officeDocument/2006/relationships/hyperlink" Target="mailto:https://www.icba.org/all-products/product-details/solutions-forum-faster-pay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3052132-7631-4bf8-9303-fc804c90d88f">
      <Terms xmlns="http://schemas.microsoft.com/office/infopath/2007/PartnerControls"/>
    </lcf76f155ced4ddcb4097134ff3c332f>
    <_ip_UnifiedCompliancePolicyProperties xmlns="http://schemas.microsoft.com/sharepoint/v3" xsi:nil="true"/>
    <TaxCatchAll xmlns="0c2bd550-716e-42bf-a496-06b194d1b8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F3F40B893A8438FDAFECBEBEF3679" ma:contentTypeVersion="20" ma:contentTypeDescription="Create a new document." ma:contentTypeScope="" ma:versionID="4aa7cc38af11ac7c631d2fb7671fb5e3">
  <xsd:schema xmlns:xsd="http://www.w3.org/2001/XMLSchema" xmlns:xs="http://www.w3.org/2001/XMLSchema" xmlns:p="http://schemas.microsoft.com/office/2006/metadata/properties" xmlns:ns1="http://schemas.microsoft.com/sharepoint/v3" xmlns:ns2="f3052132-7631-4bf8-9303-fc804c90d88f" xmlns:ns3="0c2bd550-716e-42bf-a496-06b194d1b80a" targetNamespace="http://schemas.microsoft.com/office/2006/metadata/properties" ma:root="true" ma:fieldsID="03ad56095e03f073f2efcbe674b57631" ns1:_="" ns2:_="" ns3:_="">
    <xsd:import namespace="http://schemas.microsoft.com/sharepoint/v3"/>
    <xsd:import namespace="f3052132-7631-4bf8-9303-fc804c90d88f"/>
    <xsd:import namespace="0c2bd550-716e-42bf-a496-06b194d1b8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52132-7631-4bf8-9303-fc804c90d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00ea6a4-c0f9-4ccf-bf6c-dcf772f52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bd550-716e-42bf-a496-06b194d1b8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b76d73c-8ac3-499e-b223-2876e61b994d}" ma:internalName="TaxCatchAll" ma:showField="CatchAllData" ma:web="0c2bd550-716e-42bf-a496-06b194d1b8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2995CD-6A79-4AF5-96BF-2412369B2C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052132-7631-4bf8-9303-fc804c90d88f"/>
    <ds:schemaRef ds:uri="0c2bd550-716e-42bf-a496-06b194d1b80a"/>
  </ds:schemaRefs>
</ds:datastoreItem>
</file>

<file path=customXml/itemProps2.xml><?xml version="1.0" encoding="utf-8"?>
<ds:datastoreItem xmlns:ds="http://schemas.openxmlformats.org/officeDocument/2006/customXml" ds:itemID="{11C44632-8616-4D70-AFF9-2AE465D3C9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3E3DC-D35D-4374-894A-C84DE2EC5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052132-7631-4bf8-9303-fc804c90d88f"/>
    <ds:schemaRef ds:uri="0c2bd550-716e-42bf-a496-06b194d1b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Morrison</dc:creator>
  <cp:keywords/>
  <dc:description/>
  <cp:lastModifiedBy>Tarra Willox</cp:lastModifiedBy>
  <cp:revision>2</cp:revision>
  <dcterms:created xsi:type="dcterms:W3CDTF">2024-08-01T16:25:00Z</dcterms:created>
  <dcterms:modified xsi:type="dcterms:W3CDTF">2024-08-01T16:25:00Z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0x010100496F3F40B893A8438FDAFECBEBEF3679</vt:lpwstr>
  </property>
</Properties>
</file>