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50B8" w14:textId="77777777" w:rsidR="002D3385" w:rsidRDefault="002D3385" w:rsidP="002D3385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041F8B26" w14:textId="75CC41D3" w:rsidR="002D3385" w:rsidRDefault="002D3385" w:rsidP="002D3385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October 2024</w:t>
      </w:r>
    </w:p>
    <w:p w14:paraId="4929DE49" w14:textId="77777777" w:rsidR="002D3385" w:rsidRDefault="002D3385" w:rsidP="002D3385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Columns</w:t>
      </w:r>
    </w:p>
    <w:p w14:paraId="66417A2C" w14:textId="7FC32784" w:rsidR="002D3385" w:rsidRDefault="002D3385" w:rsidP="002D3385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Innovation Station</w:t>
      </w:r>
    </w:p>
    <w:p w14:paraId="78F8DA26" w14:textId="4BD17C4B" w:rsidR="002D3385" w:rsidRDefault="002D3385" w:rsidP="002D3385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</w:t>
      </w:r>
      <w:proofErr w:type="spellStart"/>
      <w:r>
        <w:rPr>
          <w:rFonts w:ascii="Cambria" w:hAnsi="Cambria"/>
          <w:b/>
          <w:bCs/>
        </w:rPr>
        <w:t>hed</w:t>
      </w:r>
      <w:proofErr w:type="spellEnd"/>
      <w:r>
        <w:rPr>
          <w:rFonts w:ascii="Cambria" w:hAnsi="Cambria"/>
          <w:b/>
          <w:bCs/>
        </w:rPr>
        <w:t>] Tackling fraud with technology</w:t>
      </w:r>
      <w:r w:rsidRPr="002D3385">
        <w:rPr>
          <w:rFonts w:ascii="Cambria" w:hAnsi="Cambria"/>
          <w:b/>
          <w:bCs/>
        </w:rPr>
        <w:t xml:space="preserve"> </w:t>
      </w:r>
    </w:p>
    <w:p w14:paraId="48116A27" w14:textId="77777777" w:rsidR="002D3385" w:rsidRDefault="002D3385" w:rsidP="002D3385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[byline] </w:t>
      </w:r>
      <w:r w:rsidRPr="00D4615E">
        <w:rPr>
          <w:rFonts w:ascii="Cambria" w:hAnsi="Cambria"/>
        </w:rPr>
        <w:t>By Charles E. Potts</w:t>
      </w:r>
    </w:p>
    <w:p w14:paraId="49E21DB1" w14:textId="3B8E45AA" w:rsidR="00326C01" w:rsidRDefault="002D3385" w:rsidP="002D3385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[body]</w:t>
      </w:r>
      <w:r w:rsidR="00FE59AE">
        <w:rPr>
          <w:rFonts w:ascii="Cambria" w:hAnsi="Cambria"/>
          <w:b/>
          <w:bCs/>
        </w:rPr>
        <w:t xml:space="preserve"> </w:t>
      </w:r>
    </w:p>
    <w:p w14:paraId="77852EBA" w14:textId="77777777" w:rsidR="00063816" w:rsidRDefault="00063816" w:rsidP="00FE59AE">
      <w:pPr>
        <w:spacing w:after="0" w:line="240" w:lineRule="auto"/>
        <w:rPr>
          <w:rFonts w:ascii="Cambria" w:hAnsi="Cambria"/>
        </w:rPr>
      </w:pPr>
    </w:p>
    <w:p w14:paraId="367762CF" w14:textId="0FC99D2F" w:rsidR="00985C65" w:rsidRDefault="00426CFC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For years, c</w:t>
      </w:r>
      <w:r w:rsidR="000D2F24">
        <w:rPr>
          <w:rFonts w:ascii="Cambria" w:hAnsi="Cambria"/>
        </w:rPr>
        <w:t>ommunity bank</w:t>
      </w:r>
      <w:r w:rsidR="00985C65">
        <w:rPr>
          <w:rFonts w:ascii="Cambria" w:hAnsi="Cambria"/>
        </w:rPr>
        <w:t xml:space="preserve">s have </w:t>
      </w:r>
      <w:r w:rsidR="006A7A6C">
        <w:rPr>
          <w:rFonts w:ascii="Cambria" w:hAnsi="Cambria"/>
        </w:rPr>
        <w:t xml:space="preserve">made </w:t>
      </w:r>
      <w:r w:rsidR="00985C65">
        <w:rPr>
          <w:rFonts w:ascii="Cambria" w:hAnsi="Cambria"/>
        </w:rPr>
        <w:t xml:space="preserve">digital transformation </w:t>
      </w:r>
      <w:r w:rsidR="002D3385">
        <w:rPr>
          <w:rFonts w:ascii="Cambria" w:hAnsi="Cambria"/>
        </w:rPr>
        <w:t>a</w:t>
      </w:r>
      <w:r w:rsidR="00985C65">
        <w:rPr>
          <w:rFonts w:ascii="Cambria" w:hAnsi="Cambria"/>
        </w:rPr>
        <w:t xml:space="preserve"> top priorit</w:t>
      </w:r>
      <w:r w:rsidR="002D3385">
        <w:rPr>
          <w:rFonts w:ascii="Cambria" w:hAnsi="Cambria"/>
        </w:rPr>
        <w:t>y</w:t>
      </w:r>
      <w:r w:rsidR="00985C65">
        <w:rPr>
          <w:rFonts w:ascii="Cambria" w:hAnsi="Cambria"/>
        </w:rPr>
        <w:t xml:space="preserve">. From engaging with </w:t>
      </w:r>
      <w:proofErr w:type="spellStart"/>
      <w:r w:rsidR="00985C65">
        <w:rPr>
          <w:rFonts w:ascii="Cambria" w:hAnsi="Cambria"/>
        </w:rPr>
        <w:t>fintechs</w:t>
      </w:r>
      <w:proofErr w:type="spellEnd"/>
      <w:r w:rsidR="00985C65">
        <w:rPr>
          <w:rFonts w:ascii="Cambria" w:hAnsi="Cambria"/>
        </w:rPr>
        <w:t xml:space="preserve"> to introducing new payments solutions, bank leadership has embraced technology to address operational efficiencies and future-proof customer experiences</w:t>
      </w:r>
      <w:r w:rsidR="00187A96">
        <w:rPr>
          <w:rFonts w:ascii="Cambria" w:hAnsi="Cambria"/>
        </w:rPr>
        <w:t xml:space="preserve">. </w:t>
      </w:r>
    </w:p>
    <w:p w14:paraId="79FC9578" w14:textId="77777777" w:rsidR="00FE59AE" w:rsidRDefault="00FE59AE" w:rsidP="00FE59AE">
      <w:pPr>
        <w:spacing w:after="0" w:line="240" w:lineRule="auto"/>
        <w:rPr>
          <w:rFonts w:ascii="Cambria" w:hAnsi="Cambria"/>
        </w:rPr>
      </w:pPr>
    </w:p>
    <w:p w14:paraId="66F6BE60" w14:textId="42E204EF" w:rsidR="00FE59AE" w:rsidRDefault="00985C65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But as</w:t>
      </w:r>
      <w:r w:rsidR="00063F77">
        <w:rPr>
          <w:rFonts w:ascii="Cambria" w:hAnsi="Cambria"/>
        </w:rPr>
        <w:t xml:space="preserve"> you</w:t>
      </w:r>
      <w:r w:rsidR="00656DF9">
        <w:rPr>
          <w:rFonts w:ascii="Cambria" w:hAnsi="Cambria"/>
        </w:rPr>
        <w:t xml:space="preserve"> have</w:t>
      </w:r>
      <w:r>
        <w:rPr>
          <w:rFonts w:ascii="Cambria" w:hAnsi="Cambria"/>
        </w:rPr>
        <w:t xml:space="preserve"> </w:t>
      </w:r>
      <w:r w:rsidR="00753002">
        <w:rPr>
          <w:rFonts w:ascii="Cambria" w:hAnsi="Cambria"/>
        </w:rPr>
        <w:t>explore</w:t>
      </w:r>
      <w:r w:rsidR="00656DF9">
        <w:rPr>
          <w:rFonts w:ascii="Cambria" w:hAnsi="Cambria"/>
        </w:rPr>
        <w:t>d</w:t>
      </w:r>
      <w:r w:rsidR="00753002">
        <w:rPr>
          <w:rFonts w:ascii="Cambria" w:hAnsi="Cambria"/>
        </w:rPr>
        <w:t xml:space="preserve"> these </w:t>
      </w:r>
      <w:r w:rsidR="00FE59AE">
        <w:rPr>
          <w:rFonts w:ascii="Cambria" w:hAnsi="Cambria"/>
        </w:rPr>
        <w:t>digital transformation initiatives</w:t>
      </w:r>
      <w:r>
        <w:rPr>
          <w:rFonts w:ascii="Cambria" w:hAnsi="Cambria"/>
        </w:rPr>
        <w:t xml:space="preserve">, </w:t>
      </w:r>
      <w:r w:rsidR="00063F77">
        <w:rPr>
          <w:rFonts w:ascii="Cambria" w:hAnsi="Cambria"/>
        </w:rPr>
        <w:t xml:space="preserve">you </w:t>
      </w:r>
      <w:r w:rsidR="00FD71E2">
        <w:rPr>
          <w:rFonts w:ascii="Cambria" w:hAnsi="Cambria"/>
        </w:rPr>
        <w:t xml:space="preserve">have </w:t>
      </w:r>
      <w:r w:rsidR="00426CFC">
        <w:rPr>
          <w:rFonts w:ascii="Cambria" w:hAnsi="Cambria"/>
        </w:rPr>
        <w:t xml:space="preserve">also </w:t>
      </w:r>
      <w:r w:rsidR="00656DF9">
        <w:rPr>
          <w:rFonts w:ascii="Cambria" w:hAnsi="Cambria"/>
        </w:rPr>
        <w:t>had</w:t>
      </w:r>
      <w:r w:rsidR="00426CFC">
        <w:rPr>
          <w:rFonts w:ascii="Cambria" w:hAnsi="Cambria"/>
        </w:rPr>
        <w:t xml:space="preserve"> to consider</w:t>
      </w:r>
      <w:r w:rsidR="0080632A">
        <w:rPr>
          <w:rFonts w:ascii="Cambria" w:hAnsi="Cambria"/>
        </w:rPr>
        <w:t xml:space="preserve"> </w:t>
      </w:r>
      <w:r w:rsidR="00656DF9">
        <w:rPr>
          <w:rFonts w:ascii="Cambria" w:hAnsi="Cambria"/>
        </w:rPr>
        <w:t xml:space="preserve">them </w:t>
      </w:r>
      <w:r w:rsidR="0080632A">
        <w:rPr>
          <w:rFonts w:ascii="Cambria" w:hAnsi="Cambria"/>
        </w:rPr>
        <w:t>from a fraud mitigation perspective</w:t>
      </w:r>
      <w:r w:rsidR="00FE59AE">
        <w:rPr>
          <w:rFonts w:ascii="Cambria" w:hAnsi="Cambria"/>
        </w:rPr>
        <w:t>. Cybersecurity and fraud prevention are n</w:t>
      </w:r>
      <w:r w:rsidR="0080632A">
        <w:rPr>
          <w:rFonts w:ascii="Cambria" w:hAnsi="Cambria"/>
        </w:rPr>
        <w:t xml:space="preserve">o longer </w:t>
      </w:r>
      <w:r w:rsidR="00FE59AE">
        <w:rPr>
          <w:rFonts w:ascii="Cambria" w:hAnsi="Cambria"/>
        </w:rPr>
        <w:t>programmatic elements that can be separated out: Every</w:t>
      </w:r>
      <w:r w:rsidR="0080632A">
        <w:rPr>
          <w:rFonts w:ascii="Cambria" w:hAnsi="Cambria"/>
        </w:rPr>
        <w:t xml:space="preserve"> aspect of a bank’s technology enterpris</w:t>
      </w:r>
      <w:r w:rsidR="00FE59AE">
        <w:rPr>
          <w:rFonts w:ascii="Cambria" w:hAnsi="Cambria"/>
        </w:rPr>
        <w:t xml:space="preserve">e—especially </w:t>
      </w:r>
      <w:r w:rsidR="0080632A">
        <w:rPr>
          <w:rFonts w:ascii="Cambria" w:hAnsi="Cambria"/>
        </w:rPr>
        <w:t xml:space="preserve">where they </w:t>
      </w:r>
      <w:r w:rsidR="00FD71E2">
        <w:rPr>
          <w:rFonts w:ascii="Cambria" w:hAnsi="Cambria"/>
        </w:rPr>
        <w:t xml:space="preserve">service and </w:t>
      </w:r>
      <w:r w:rsidR="0080632A">
        <w:rPr>
          <w:rFonts w:ascii="Cambria" w:hAnsi="Cambria"/>
        </w:rPr>
        <w:t>interact with customers</w:t>
      </w:r>
      <w:r w:rsidR="00FE59AE">
        <w:rPr>
          <w:rFonts w:ascii="Cambria" w:hAnsi="Cambria"/>
        </w:rPr>
        <w:t>—</w:t>
      </w:r>
      <w:r w:rsidR="0080632A">
        <w:rPr>
          <w:rFonts w:ascii="Cambria" w:hAnsi="Cambria"/>
        </w:rPr>
        <w:t xml:space="preserve">must have </w:t>
      </w:r>
      <w:r w:rsidR="007F4B98">
        <w:rPr>
          <w:rFonts w:ascii="Cambria" w:hAnsi="Cambria"/>
        </w:rPr>
        <w:t xml:space="preserve">a </w:t>
      </w:r>
      <w:r w:rsidR="0080632A">
        <w:rPr>
          <w:rFonts w:ascii="Cambria" w:hAnsi="Cambria"/>
        </w:rPr>
        <w:t xml:space="preserve">risk and fraud mitigation </w:t>
      </w:r>
      <w:r w:rsidR="00FE59AE">
        <w:rPr>
          <w:rFonts w:ascii="Cambria" w:hAnsi="Cambria"/>
        </w:rPr>
        <w:t>narrative</w:t>
      </w:r>
      <w:r w:rsidR="0080632A">
        <w:rPr>
          <w:rFonts w:ascii="Cambria" w:hAnsi="Cambria"/>
        </w:rPr>
        <w:t xml:space="preserve"> surrounding </w:t>
      </w:r>
      <w:r w:rsidR="00FE59AE">
        <w:rPr>
          <w:rFonts w:ascii="Cambria" w:hAnsi="Cambria"/>
        </w:rPr>
        <w:t>them.</w:t>
      </w:r>
      <w:r w:rsidR="0080632A">
        <w:rPr>
          <w:rFonts w:ascii="Cambria" w:hAnsi="Cambria"/>
        </w:rPr>
        <w:t xml:space="preserve"> </w:t>
      </w:r>
    </w:p>
    <w:p w14:paraId="77C794E5" w14:textId="77777777" w:rsidR="00FE59AE" w:rsidRDefault="00FE59AE" w:rsidP="00FE59AE">
      <w:pPr>
        <w:spacing w:after="0" w:line="240" w:lineRule="auto"/>
        <w:rPr>
          <w:rFonts w:ascii="Cambria" w:hAnsi="Cambria"/>
        </w:rPr>
      </w:pPr>
    </w:p>
    <w:p w14:paraId="4C4CEB28" w14:textId="2DC79347" w:rsidR="00FE59AE" w:rsidRPr="00BF3652" w:rsidRDefault="002D3385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[</w:t>
      </w:r>
      <w:proofErr w:type="spellStart"/>
      <w:r>
        <w:rPr>
          <w:rFonts w:ascii="Cambria" w:hAnsi="Cambria"/>
        </w:rPr>
        <w:t>subhed</w:t>
      </w:r>
      <w:proofErr w:type="spellEnd"/>
      <w:r>
        <w:rPr>
          <w:rFonts w:ascii="Cambria" w:hAnsi="Cambria"/>
        </w:rPr>
        <w:t xml:space="preserve">] </w:t>
      </w:r>
      <w:proofErr w:type="gramStart"/>
      <w:r w:rsidR="00FE59AE" w:rsidRPr="00BF3652">
        <w:rPr>
          <w:rFonts w:ascii="Cambria" w:hAnsi="Cambria"/>
          <w:b/>
          <w:bCs/>
        </w:rPr>
        <w:t>An</w:t>
      </w:r>
      <w:proofErr w:type="gramEnd"/>
      <w:r w:rsidR="00FE59AE" w:rsidRPr="00BF3652">
        <w:rPr>
          <w:rFonts w:ascii="Cambria" w:hAnsi="Cambria"/>
          <w:b/>
          <w:bCs/>
        </w:rPr>
        <w:t xml:space="preserve"> enterprise approach</w:t>
      </w:r>
    </w:p>
    <w:p w14:paraId="586CC3DC" w14:textId="5F72521A" w:rsidR="00934162" w:rsidRDefault="008F52AD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F</w:t>
      </w:r>
      <w:r w:rsidR="003E11A7">
        <w:rPr>
          <w:rFonts w:ascii="Cambria" w:hAnsi="Cambria"/>
        </w:rPr>
        <w:t xml:space="preserve">raud mitigation has become table stakes for everything a </w:t>
      </w:r>
      <w:r w:rsidR="00FD71E2">
        <w:rPr>
          <w:rFonts w:ascii="Cambria" w:hAnsi="Cambria"/>
        </w:rPr>
        <w:t xml:space="preserve">community </w:t>
      </w:r>
      <w:r w:rsidR="003E11A7">
        <w:rPr>
          <w:rFonts w:ascii="Cambria" w:hAnsi="Cambria"/>
        </w:rPr>
        <w:t>bank does. W</w:t>
      </w:r>
      <w:r w:rsidR="0080632A">
        <w:rPr>
          <w:rFonts w:ascii="Cambria" w:hAnsi="Cambria"/>
        </w:rPr>
        <w:t xml:space="preserve">hen it comes to business </w:t>
      </w:r>
      <w:r w:rsidR="003E11A7">
        <w:rPr>
          <w:rFonts w:ascii="Cambria" w:hAnsi="Cambria"/>
        </w:rPr>
        <w:t xml:space="preserve">continuity, </w:t>
      </w:r>
      <w:r w:rsidR="0080632A">
        <w:rPr>
          <w:rFonts w:ascii="Cambria" w:hAnsi="Cambria"/>
        </w:rPr>
        <w:t>cyber</w:t>
      </w:r>
      <w:r w:rsidR="003E11A7">
        <w:rPr>
          <w:rFonts w:ascii="Cambria" w:hAnsi="Cambria"/>
        </w:rPr>
        <w:t>security</w:t>
      </w:r>
      <w:r w:rsidR="0080632A">
        <w:rPr>
          <w:rFonts w:ascii="Cambria" w:hAnsi="Cambria"/>
        </w:rPr>
        <w:t xml:space="preserve"> and risk management</w:t>
      </w:r>
      <w:r w:rsidR="003E11A7">
        <w:rPr>
          <w:rFonts w:ascii="Cambria" w:hAnsi="Cambria"/>
        </w:rPr>
        <w:t>,</w:t>
      </w:r>
      <w:r w:rsidR="0080632A">
        <w:rPr>
          <w:rFonts w:ascii="Cambria" w:hAnsi="Cambria"/>
        </w:rPr>
        <w:t xml:space="preserve"> those threads </w:t>
      </w:r>
      <w:r w:rsidR="00063F77">
        <w:rPr>
          <w:rFonts w:ascii="Cambria" w:hAnsi="Cambria"/>
        </w:rPr>
        <w:t>weave</w:t>
      </w:r>
      <w:r w:rsidR="0080632A">
        <w:rPr>
          <w:rFonts w:ascii="Cambria" w:hAnsi="Cambria"/>
        </w:rPr>
        <w:t xml:space="preserve"> through </w:t>
      </w:r>
      <w:r w:rsidR="00063F77">
        <w:rPr>
          <w:rFonts w:ascii="Cambria" w:hAnsi="Cambria"/>
        </w:rPr>
        <w:t>every product, service and area of the bank</w:t>
      </w:r>
      <w:r w:rsidR="003E11A7">
        <w:rPr>
          <w:rFonts w:ascii="Cambria" w:hAnsi="Cambria"/>
        </w:rPr>
        <w:t>. If you’re standing up a</w:t>
      </w:r>
      <w:r w:rsidR="0080632A">
        <w:rPr>
          <w:rFonts w:ascii="Cambria" w:hAnsi="Cambria"/>
        </w:rPr>
        <w:t xml:space="preserve"> new digital account onboarding solution, </w:t>
      </w:r>
      <w:r w:rsidR="003E11A7">
        <w:rPr>
          <w:rFonts w:ascii="Cambria" w:hAnsi="Cambria"/>
        </w:rPr>
        <w:t xml:space="preserve">you </w:t>
      </w:r>
      <w:r w:rsidR="00FD71E2">
        <w:rPr>
          <w:rFonts w:ascii="Cambria" w:hAnsi="Cambria"/>
        </w:rPr>
        <w:t>must ask</w:t>
      </w:r>
      <w:r w:rsidR="003E11A7">
        <w:rPr>
          <w:rFonts w:ascii="Cambria" w:hAnsi="Cambria"/>
        </w:rPr>
        <w:t>, “W</w:t>
      </w:r>
      <w:r w:rsidR="0080632A">
        <w:rPr>
          <w:rFonts w:ascii="Cambria" w:hAnsi="Cambria"/>
        </w:rPr>
        <w:t>hat’s my fraud and risk mitigation strategy to dovetail with that</w:t>
      </w:r>
      <w:r w:rsidR="003E11A7">
        <w:rPr>
          <w:rFonts w:ascii="Cambria" w:hAnsi="Cambria"/>
        </w:rPr>
        <w:t xml:space="preserve">?” </w:t>
      </w:r>
    </w:p>
    <w:p w14:paraId="028C6056" w14:textId="77777777" w:rsidR="00934162" w:rsidRDefault="00934162" w:rsidP="00FE59AE">
      <w:pPr>
        <w:spacing w:after="0" w:line="240" w:lineRule="auto"/>
        <w:rPr>
          <w:rFonts w:ascii="Cambria" w:hAnsi="Cambria"/>
        </w:rPr>
      </w:pPr>
    </w:p>
    <w:p w14:paraId="3F9BB413" w14:textId="060D8CE4" w:rsidR="0080632A" w:rsidRDefault="000923FD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This intense, enterprise-level focus has ensured that fraud mitigation and cybersecurity are </w:t>
      </w:r>
      <w:r w:rsidR="00FD71E2">
        <w:rPr>
          <w:rFonts w:ascii="Cambria" w:hAnsi="Cambria"/>
        </w:rPr>
        <w:t xml:space="preserve">now </w:t>
      </w:r>
      <w:r>
        <w:rPr>
          <w:rFonts w:ascii="Cambria" w:hAnsi="Cambria"/>
        </w:rPr>
        <w:t xml:space="preserve">part of every </w:t>
      </w:r>
      <w:r w:rsidR="00FD71E2">
        <w:rPr>
          <w:rFonts w:ascii="Cambria" w:hAnsi="Cambria"/>
        </w:rPr>
        <w:t>bank personnel</w:t>
      </w:r>
      <w:r>
        <w:rPr>
          <w:rFonts w:ascii="Cambria" w:hAnsi="Cambria"/>
        </w:rPr>
        <w:t xml:space="preserve">’s responsibility. The work to thwart attacks no longer falls on the </w:t>
      </w:r>
      <w:r w:rsidR="00F632AF">
        <w:rPr>
          <w:rFonts w:ascii="Cambria" w:hAnsi="Cambria"/>
        </w:rPr>
        <w:t>c</w:t>
      </w:r>
      <w:r>
        <w:rPr>
          <w:rFonts w:ascii="Cambria" w:hAnsi="Cambria"/>
        </w:rPr>
        <w:t xml:space="preserve">hief </w:t>
      </w:r>
      <w:r w:rsidR="00F632AF">
        <w:rPr>
          <w:rFonts w:ascii="Cambria" w:hAnsi="Cambria"/>
        </w:rPr>
        <w:t>s</w:t>
      </w:r>
      <w:r>
        <w:rPr>
          <w:rFonts w:ascii="Cambria" w:hAnsi="Cambria"/>
        </w:rPr>
        <w:t xml:space="preserve">ecurity </w:t>
      </w:r>
      <w:r w:rsidR="00F632AF">
        <w:rPr>
          <w:rFonts w:ascii="Cambria" w:hAnsi="Cambria"/>
        </w:rPr>
        <w:t>o</w:t>
      </w:r>
      <w:r>
        <w:rPr>
          <w:rFonts w:ascii="Cambria" w:hAnsi="Cambria"/>
        </w:rPr>
        <w:t>fficer and risk team alone; it requires all employees</w:t>
      </w:r>
      <w:r w:rsidR="00FD71E2">
        <w:rPr>
          <w:rFonts w:ascii="Cambria" w:hAnsi="Cambria"/>
        </w:rPr>
        <w:t xml:space="preserve"> at </w:t>
      </w:r>
      <w:r>
        <w:rPr>
          <w:rFonts w:ascii="Cambria" w:hAnsi="Cambria"/>
        </w:rPr>
        <w:t xml:space="preserve">all levels of the bank </w:t>
      </w:r>
      <w:r w:rsidR="0080632A">
        <w:rPr>
          <w:rFonts w:ascii="Cambria" w:hAnsi="Cambria"/>
        </w:rPr>
        <w:t xml:space="preserve">to </w:t>
      </w:r>
      <w:r w:rsidR="00253611">
        <w:rPr>
          <w:rFonts w:ascii="Cambria" w:hAnsi="Cambria"/>
        </w:rPr>
        <w:t>safeguard</w:t>
      </w:r>
      <w:r>
        <w:rPr>
          <w:rFonts w:ascii="Cambria" w:hAnsi="Cambria"/>
        </w:rPr>
        <w:t xml:space="preserve"> both the bank and </w:t>
      </w:r>
      <w:r w:rsidR="00FD71E2">
        <w:rPr>
          <w:rFonts w:ascii="Cambria" w:hAnsi="Cambria"/>
        </w:rPr>
        <w:t xml:space="preserve">its </w:t>
      </w:r>
      <w:r>
        <w:rPr>
          <w:rFonts w:ascii="Cambria" w:hAnsi="Cambria"/>
        </w:rPr>
        <w:t>customer</w:t>
      </w:r>
      <w:r w:rsidR="00FD71E2">
        <w:rPr>
          <w:rFonts w:ascii="Cambria" w:hAnsi="Cambria"/>
        </w:rPr>
        <w:t>s</w:t>
      </w:r>
      <w:r w:rsidR="00253611">
        <w:rPr>
          <w:rFonts w:ascii="Cambria" w:hAnsi="Cambria"/>
        </w:rPr>
        <w:t>.</w:t>
      </w:r>
      <w:r w:rsidR="00187A96">
        <w:rPr>
          <w:rFonts w:ascii="Cambria" w:hAnsi="Cambria"/>
        </w:rPr>
        <w:t xml:space="preserve"> </w:t>
      </w:r>
    </w:p>
    <w:p w14:paraId="6B74FC30" w14:textId="77777777" w:rsidR="00BF2322" w:rsidRPr="00BF2322" w:rsidRDefault="00BF2322" w:rsidP="00FE59AE">
      <w:pPr>
        <w:spacing w:after="0" w:line="240" w:lineRule="auto"/>
        <w:rPr>
          <w:rFonts w:ascii="Cambria" w:hAnsi="Cambria"/>
        </w:rPr>
      </w:pPr>
    </w:p>
    <w:p w14:paraId="65B7D0B3" w14:textId="50E2B9B4" w:rsidR="002251CF" w:rsidRDefault="002251CF" w:rsidP="00225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Fortunately, it’s not just community bankers who are aware of this </w:t>
      </w:r>
      <w:r w:rsidR="000923FD">
        <w:rPr>
          <w:rFonts w:ascii="Cambria" w:hAnsi="Cambria"/>
        </w:rPr>
        <w:t>requirement</w:t>
      </w:r>
      <w:r>
        <w:rPr>
          <w:rFonts w:ascii="Cambria" w:hAnsi="Cambria"/>
        </w:rPr>
        <w:t xml:space="preserve">; fintech providers themselves are </w:t>
      </w:r>
      <w:r w:rsidR="000923FD">
        <w:rPr>
          <w:rFonts w:ascii="Cambria" w:hAnsi="Cambria"/>
        </w:rPr>
        <w:t xml:space="preserve">building </w:t>
      </w:r>
      <w:r w:rsidR="00FD71E2">
        <w:rPr>
          <w:rFonts w:ascii="Cambria" w:hAnsi="Cambria"/>
        </w:rPr>
        <w:t xml:space="preserve">solutions </w:t>
      </w:r>
      <w:r w:rsidR="000923FD">
        <w:rPr>
          <w:rFonts w:ascii="Cambria" w:hAnsi="Cambria"/>
        </w:rPr>
        <w:t>with fraud and cybersecurity in mind</w:t>
      </w:r>
      <w:r>
        <w:rPr>
          <w:rFonts w:ascii="Cambria" w:hAnsi="Cambria"/>
        </w:rPr>
        <w:t xml:space="preserve">. </w:t>
      </w:r>
      <w:r w:rsidR="00042E0A">
        <w:rPr>
          <w:rFonts w:ascii="Cambria" w:hAnsi="Cambria"/>
        </w:rPr>
        <w:t>If</w:t>
      </w:r>
      <w:r>
        <w:rPr>
          <w:rFonts w:ascii="Cambria" w:hAnsi="Cambria"/>
        </w:rPr>
        <w:t xml:space="preserve"> I am offering a commercial loan origination platform, I’m building the solution with consideration </w:t>
      </w:r>
      <w:r w:rsidR="006A7A6C">
        <w:rPr>
          <w:rFonts w:ascii="Cambria" w:hAnsi="Cambria"/>
        </w:rPr>
        <w:t xml:space="preserve">for </w:t>
      </w:r>
      <w:r>
        <w:rPr>
          <w:rFonts w:ascii="Cambria" w:hAnsi="Cambria"/>
        </w:rPr>
        <w:t>the elements inherent to reducing fraud.</w:t>
      </w:r>
      <w:r w:rsidR="000923FD">
        <w:rPr>
          <w:rFonts w:ascii="Cambria" w:hAnsi="Cambria"/>
        </w:rPr>
        <w:t xml:space="preserve"> As new products enter the marketplace, fraud mitigation has become a chief consideration in their design and build. </w:t>
      </w:r>
    </w:p>
    <w:p w14:paraId="57CE567E" w14:textId="77777777" w:rsidR="002251CF" w:rsidRDefault="002251CF" w:rsidP="002251CF">
      <w:pPr>
        <w:spacing w:after="0" w:line="240" w:lineRule="auto"/>
        <w:rPr>
          <w:rFonts w:ascii="Cambria" w:hAnsi="Cambria"/>
        </w:rPr>
      </w:pPr>
    </w:p>
    <w:p w14:paraId="35193C62" w14:textId="6A450FC7" w:rsidR="000923FD" w:rsidRPr="00BF3652" w:rsidRDefault="002D3385" w:rsidP="00225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[</w:t>
      </w:r>
      <w:proofErr w:type="spellStart"/>
      <w:r>
        <w:rPr>
          <w:rFonts w:ascii="Cambria" w:hAnsi="Cambria"/>
        </w:rPr>
        <w:t>subhed</w:t>
      </w:r>
      <w:proofErr w:type="spellEnd"/>
      <w:r>
        <w:rPr>
          <w:rFonts w:ascii="Cambria" w:hAnsi="Cambria"/>
        </w:rPr>
        <w:t xml:space="preserve">] </w:t>
      </w:r>
      <w:r w:rsidR="0001392A" w:rsidRPr="00BF3652">
        <w:rPr>
          <w:rFonts w:ascii="Cambria" w:hAnsi="Cambria"/>
          <w:b/>
          <w:bCs/>
        </w:rPr>
        <w:t>Layered solutions</w:t>
      </w:r>
    </w:p>
    <w:p w14:paraId="1CE25700" w14:textId="1F91DE2E" w:rsidR="000A1905" w:rsidRDefault="000A1905" w:rsidP="00225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But it’s not just about having the new, shiny solution protected; as we’ve all seen, check fraud has spiraled to near-historic heights. We’re</w:t>
      </w:r>
      <w:r w:rsidR="004C4DEA">
        <w:rPr>
          <w:rFonts w:ascii="Cambria" w:hAnsi="Cambria"/>
        </w:rPr>
        <w:t xml:space="preserve"> now</w:t>
      </w:r>
      <w:r>
        <w:rPr>
          <w:rFonts w:ascii="Cambria" w:hAnsi="Cambria"/>
        </w:rPr>
        <w:t xml:space="preserve"> looking </w:t>
      </w:r>
      <w:r w:rsidR="004C4DEA">
        <w:rPr>
          <w:rFonts w:ascii="Cambria" w:hAnsi="Cambria"/>
        </w:rPr>
        <w:t xml:space="preserve">for new ways </w:t>
      </w:r>
      <w:r>
        <w:rPr>
          <w:rFonts w:ascii="Cambria" w:hAnsi="Cambria"/>
        </w:rPr>
        <w:t>to build layers of protection around a legacy</w:t>
      </w:r>
      <w:r w:rsidR="00DE7747">
        <w:rPr>
          <w:rFonts w:ascii="Cambria" w:hAnsi="Cambria"/>
        </w:rPr>
        <w:t xml:space="preserve"> payments solution</w:t>
      </w:r>
      <w:r w:rsidR="004C4DEA">
        <w:rPr>
          <w:rFonts w:ascii="Cambria" w:hAnsi="Cambria"/>
        </w:rPr>
        <w:t xml:space="preserve">. </w:t>
      </w:r>
    </w:p>
    <w:p w14:paraId="59527CA0" w14:textId="77777777" w:rsidR="0001392A" w:rsidRDefault="0001392A" w:rsidP="002251CF">
      <w:pPr>
        <w:spacing w:after="0" w:line="240" w:lineRule="auto"/>
        <w:rPr>
          <w:rFonts w:ascii="Cambria" w:hAnsi="Cambria"/>
        </w:rPr>
      </w:pPr>
    </w:p>
    <w:p w14:paraId="795F21F8" w14:textId="2510DBE1" w:rsidR="0001392A" w:rsidRDefault="00126CA1" w:rsidP="00225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01392A">
        <w:rPr>
          <w:rFonts w:ascii="Cambria" w:hAnsi="Cambria"/>
        </w:rPr>
        <w:t xml:space="preserve">ayered </w:t>
      </w:r>
      <w:r w:rsidR="00CF3EC5">
        <w:rPr>
          <w:rFonts w:ascii="Cambria" w:hAnsi="Cambria"/>
        </w:rPr>
        <w:t>protections</w:t>
      </w:r>
      <w:r w:rsidR="0001392A">
        <w:rPr>
          <w:rFonts w:ascii="Cambria" w:hAnsi="Cambria"/>
        </w:rPr>
        <w:t xml:space="preserve"> are key to addressing the </w:t>
      </w:r>
      <w:r w:rsidR="00CF3EC5">
        <w:rPr>
          <w:rFonts w:ascii="Cambria" w:hAnsi="Cambria"/>
        </w:rPr>
        <w:t xml:space="preserve">increasingly complex forms of </w:t>
      </w:r>
      <w:r w:rsidR="0001392A">
        <w:rPr>
          <w:rFonts w:ascii="Cambria" w:hAnsi="Cambria"/>
        </w:rPr>
        <w:t xml:space="preserve">fraud and </w:t>
      </w:r>
      <w:proofErr w:type="spellStart"/>
      <w:r w:rsidR="009660DF">
        <w:rPr>
          <w:rFonts w:ascii="Cambria" w:hAnsi="Cambria"/>
        </w:rPr>
        <w:t>cyber</w:t>
      </w:r>
      <w:r w:rsidR="00F1472C">
        <w:rPr>
          <w:rFonts w:ascii="Cambria" w:hAnsi="Cambria"/>
        </w:rPr>
        <w:t xml:space="preserve"> </w:t>
      </w:r>
      <w:r w:rsidR="009660DF">
        <w:rPr>
          <w:rFonts w:ascii="Cambria" w:hAnsi="Cambria"/>
        </w:rPr>
        <w:t>attacks</w:t>
      </w:r>
      <w:proofErr w:type="spellEnd"/>
      <w:r w:rsidR="009660DF">
        <w:rPr>
          <w:rFonts w:ascii="Cambria" w:hAnsi="Cambria"/>
        </w:rPr>
        <w:t xml:space="preserve">. </w:t>
      </w:r>
      <w:r w:rsidR="00CF3EC5">
        <w:rPr>
          <w:rFonts w:ascii="Cambria" w:hAnsi="Cambria"/>
        </w:rPr>
        <w:t xml:space="preserve">In today’s landscape, no one </w:t>
      </w:r>
      <w:r w:rsidR="009660DF">
        <w:rPr>
          <w:rFonts w:ascii="Cambria" w:hAnsi="Cambria"/>
        </w:rPr>
        <w:t>silver bullet</w:t>
      </w:r>
      <w:r w:rsidR="00F1472C">
        <w:rPr>
          <w:rFonts w:ascii="Cambria" w:hAnsi="Cambria"/>
        </w:rPr>
        <w:t xml:space="preserve"> or</w:t>
      </w:r>
      <w:r w:rsidR="00A32FCE">
        <w:rPr>
          <w:rFonts w:ascii="Cambria" w:hAnsi="Cambria"/>
        </w:rPr>
        <w:t xml:space="preserve"> </w:t>
      </w:r>
      <w:r w:rsidR="009660DF">
        <w:rPr>
          <w:rFonts w:ascii="Cambria" w:hAnsi="Cambria"/>
        </w:rPr>
        <w:t>sing</w:t>
      </w:r>
      <w:r w:rsidR="007D34FE">
        <w:rPr>
          <w:rFonts w:ascii="Cambria" w:hAnsi="Cambria"/>
        </w:rPr>
        <w:t>le</w:t>
      </w:r>
      <w:r w:rsidR="009660DF">
        <w:rPr>
          <w:rFonts w:ascii="Cambria" w:hAnsi="Cambria"/>
        </w:rPr>
        <w:t xml:space="preserve"> fraud solution </w:t>
      </w:r>
      <w:r w:rsidR="00CF3EC5">
        <w:rPr>
          <w:rFonts w:ascii="Cambria" w:hAnsi="Cambria"/>
        </w:rPr>
        <w:t>exists to</w:t>
      </w:r>
      <w:r w:rsidR="009660DF">
        <w:rPr>
          <w:rFonts w:ascii="Cambria" w:hAnsi="Cambria"/>
        </w:rPr>
        <w:t xml:space="preserve"> address it all; it’s about taking an aggregate approach and applying layers of defenses to </w:t>
      </w:r>
      <w:r w:rsidR="00CF3EC5">
        <w:rPr>
          <w:rFonts w:ascii="Cambria" w:hAnsi="Cambria"/>
        </w:rPr>
        <w:t>fill</w:t>
      </w:r>
      <w:r w:rsidR="009660DF">
        <w:rPr>
          <w:rFonts w:ascii="Cambria" w:hAnsi="Cambria"/>
        </w:rPr>
        <w:t xml:space="preserve"> holes</w:t>
      </w:r>
      <w:r w:rsidR="00CF3EC5">
        <w:rPr>
          <w:rFonts w:ascii="Cambria" w:hAnsi="Cambria"/>
        </w:rPr>
        <w:t>.</w:t>
      </w:r>
    </w:p>
    <w:p w14:paraId="7A7F5772" w14:textId="77777777" w:rsidR="004C4DEA" w:rsidRDefault="004C4DEA" w:rsidP="002251CF">
      <w:pPr>
        <w:spacing w:after="0" w:line="240" w:lineRule="auto"/>
        <w:rPr>
          <w:rFonts w:ascii="Cambria" w:hAnsi="Cambria"/>
        </w:rPr>
      </w:pPr>
    </w:p>
    <w:p w14:paraId="4E7D354C" w14:textId="633698A0" w:rsidR="00F1472C" w:rsidRDefault="009660DF" w:rsidP="00F1472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For instance,</w:t>
      </w:r>
      <w:r w:rsidR="004C4DEA">
        <w:rPr>
          <w:rFonts w:ascii="Cambria" w:hAnsi="Cambria"/>
        </w:rPr>
        <w:t xml:space="preserve"> predictive analytics, the precursor to today’s emerging artificial intelligence tools, has been employed at the core of fraud pattern recognition for decades, particularly as </w:t>
      </w:r>
      <w:r w:rsidR="00F1472C">
        <w:rPr>
          <w:rFonts w:ascii="Cambria" w:hAnsi="Cambria"/>
        </w:rPr>
        <w:t xml:space="preserve">it </w:t>
      </w:r>
      <w:r w:rsidR="004C4DEA">
        <w:rPr>
          <w:rFonts w:ascii="Cambria" w:hAnsi="Cambria"/>
        </w:rPr>
        <w:t xml:space="preserve">relates to </w:t>
      </w:r>
      <w:r w:rsidR="004C4DEA">
        <w:rPr>
          <w:rFonts w:ascii="Cambria" w:hAnsi="Cambria"/>
        </w:rPr>
        <w:lastRenderedPageBreak/>
        <w:t>credit card fraud. W</w:t>
      </w:r>
      <w:r w:rsidR="00E56D90">
        <w:rPr>
          <w:rFonts w:ascii="Cambria" w:hAnsi="Cambria"/>
        </w:rPr>
        <w:t>e ar</w:t>
      </w:r>
      <w:r w:rsidR="00CF3EC5">
        <w:rPr>
          <w:rFonts w:ascii="Cambria" w:hAnsi="Cambria"/>
        </w:rPr>
        <w:t xml:space="preserve">e now seeing tools emerge that take that </w:t>
      </w:r>
      <w:r w:rsidR="00F1472C">
        <w:rPr>
          <w:rFonts w:ascii="Cambria" w:hAnsi="Cambria"/>
        </w:rPr>
        <w:t xml:space="preserve">a </w:t>
      </w:r>
      <w:r w:rsidR="00CF3EC5">
        <w:rPr>
          <w:rFonts w:ascii="Cambria" w:hAnsi="Cambria"/>
        </w:rPr>
        <w:t>core approach and apply it to other areas of the business</w:t>
      </w:r>
      <w:r w:rsidR="00F1472C">
        <w:rPr>
          <w:rFonts w:ascii="Cambria" w:hAnsi="Cambria"/>
        </w:rPr>
        <w:t>. W</w:t>
      </w:r>
      <w:r w:rsidR="00CF3EC5">
        <w:rPr>
          <w:rFonts w:ascii="Cambria" w:hAnsi="Cambria"/>
        </w:rPr>
        <w:t>e</w:t>
      </w:r>
      <w:r w:rsidR="00E56D90">
        <w:rPr>
          <w:rFonts w:ascii="Cambria" w:hAnsi="Cambria"/>
        </w:rPr>
        <w:t xml:space="preserve"> are becoming better at </w:t>
      </w:r>
      <w:r w:rsidR="00CF3EC5">
        <w:rPr>
          <w:rFonts w:ascii="Cambria" w:hAnsi="Cambria"/>
        </w:rPr>
        <w:t>monitoring behaviors to</w:t>
      </w:r>
      <w:r w:rsidR="00E56D90">
        <w:rPr>
          <w:rFonts w:ascii="Cambria" w:hAnsi="Cambria"/>
        </w:rPr>
        <w:t xml:space="preserve"> reduce and mitigate all types of fraud</w:t>
      </w:r>
      <w:r w:rsidR="003A0CC1">
        <w:rPr>
          <w:rFonts w:ascii="Cambria" w:hAnsi="Cambria"/>
        </w:rPr>
        <w:t xml:space="preserve">—and it’s become a central focus </w:t>
      </w:r>
      <w:r w:rsidR="00F1472C">
        <w:rPr>
          <w:rFonts w:ascii="Cambria" w:hAnsi="Cambria"/>
        </w:rPr>
        <w:t xml:space="preserve">for </w:t>
      </w:r>
      <w:r w:rsidR="003A0CC1">
        <w:rPr>
          <w:rFonts w:ascii="Cambria" w:hAnsi="Cambria"/>
        </w:rPr>
        <w:t xml:space="preserve">every community bank. </w:t>
      </w:r>
    </w:p>
    <w:p w14:paraId="33F04F23" w14:textId="77777777" w:rsidR="00F1472C" w:rsidRDefault="00F1472C" w:rsidP="00F1472C">
      <w:pPr>
        <w:spacing w:after="0" w:line="240" w:lineRule="auto"/>
        <w:rPr>
          <w:rFonts w:ascii="Cambria" w:hAnsi="Cambria"/>
        </w:rPr>
      </w:pPr>
    </w:p>
    <w:p w14:paraId="69963447" w14:textId="3F39913B" w:rsidR="00F1472C" w:rsidRPr="001C39D4" w:rsidRDefault="00F1472C" w:rsidP="00F1472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But as you consider how to shore up your systems, know that you are not alone. </w:t>
      </w:r>
      <w:r w:rsidRPr="00EE3F1F">
        <w:rPr>
          <w:rFonts w:ascii="Cambria" w:hAnsi="Cambria"/>
        </w:rPr>
        <w:t>The beauty of this industry is there are bankers out there who</w:t>
      </w:r>
      <w:r>
        <w:rPr>
          <w:rFonts w:ascii="Cambria" w:hAnsi="Cambria"/>
        </w:rPr>
        <w:t xml:space="preserve"> have had similar experiences and can share input and</w:t>
      </w:r>
      <w:r w:rsidRPr="00EE3F1F">
        <w:rPr>
          <w:rFonts w:ascii="Cambria" w:hAnsi="Cambria"/>
        </w:rPr>
        <w:t xml:space="preserve"> offer advice.</w:t>
      </w:r>
      <w:r w:rsidRPr="00F1472C">
        <w:rPr>
          <w:rFonts w:ascii="Cambria" w:hAnsi="Cambria"/>
        </w:rPr>
        <w:t xml:space="preserve"> </w:t>
      </w:r>
      <w:r>
        <w:rPr>
          <w:rFonts w:ascii="Cambria" w:hAnsi="Cambria"/>
        </w:rPr>
        <w:t>In the meantime, ICBA will continue to ensure</w:t>
      </w:r>
      <w:r w:rsidRPr="001C39D4">
        <w:rPr>
          <w:rFonts w:ascii="Cambria" w:hAnsi="Cambria"/>
        </w:rPr>
        <w:t xml:space="preserve"> that you have the information, tools and resources you need</w:t>
      </w:r>
      <w:r>
        <w:rPr>
          <w:rFonts w:ascii="Cambria" w:hAnsi="Cambria"/>
        </w:rPr>
        <w:t xml:space="preserve"> to build out your fraud toolbox. </w:t>
      </w:r>
      <w:r w:rsidR="006A7A6C">
        <w:rPr>
          <w:rFonts w:ascii="Cambria" w:hAnsi="Cambria"/>
        </w:rPr>
        <w:t>I</w:t>
      </w:r>
      <w:r>
        <w:rPr>
          <w:rFonts w:ascii="Cambria" w:hAnsi="Cambria"/>
        </w:rPr>
        <w:t xml:space="preserve">t takes a community to hold fraud at bay, and fortunately, we have a </w:t>
      </w:r>
      <w:r w:rsidR="00126CA1">
        <w:rPr>
          <w:rFonts w:ascii="Cambria" w:hAnsi="Cambria"/>
        </w:rPr>
        <w:t>network</w:t>
      </w:r>
      <w:r>
        <w:rPr>
          <w:rFonts w:ascii="Cambria" w:hAnsi="Cambria"/>
        </w:rPr>
        <w:t xml:space="preserve"> of community bankers prepared to do just that. </w:t>
      </w:r>
    </w:p>
    <w:p w14:paraId="57ADFF77" w14:textId="2C9D3C39" w:rsidR="0001392A" w:rsidRDefault="006A7A6C" w:rsidP="004C4DE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[ends]</w:t>
      </w:r>
    </w:p>
    <w:p w14:paraId="108B142A" w14:textId="77777777" w:rsidR="0001392A" w:rsidRDefault="0001392A" w:rsidP="004C4DEA">
      <w:pPr>
        <w:spacing w:after="0" w:line="240" w:lineRule="auto"/>
        <w:rPr>
          <w:rFonts w:ascii="Cambria" w:hAnsi="Cambria"/>
        </w:rPr>
      </w:pPr>
    </w:p>
    <w:p w14:paraId="6382D0DA" w14:textId="7E798887" w:rsidR="00DE4154" w:rsidRPr="00BF3652" w:rsidRDefault="002D3385" w:rsidP="00FE59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[</w:t>
      </w:r>
      <w:r w:rsidR="00F1472C">
        <w:rPr>
          <w:rFonts w:ascii="Cambria" w:hAnsi="Cambria"/>
        </w:rPr>
        <w:t>callout box</w:t>
      </w:r>
      <w:r>
        <w:rPr>
          <w:rFonts w:ascii="Cambria" w:hAnsi="Cambria"/>
        </w:rPr>
        <w:t xml:space="preserve">] </w:t>
      </w:r>
      <w:r w:rsidR="000070B5" w:rsidRPr="00BF3652">
        <w:rPr>
          <w:rFonts w:ascii="Cambria" w:hAnsi="Cambria"/>
          <w:b/>
          <w:bCs/>
        </w:rPr>
        <w:t>Where to look</w:t>
      </w:r>
    </w:p>
    <w:p w14:paraId="6FA5F1AC" w14:textId="165EF775" w:rsidR="00C51F5C" w:rsidRDefault="00E15CC6" w:rsidP="001C39D4">
      <w:pPr>
        <w:spacing w:after="0" w:line="240" w:lineRule="auto"/>
        <w:rPr>
          <w:rFonts w:ascii="Cambria" w:hAnsi="Cambria"/>
        </w:rPr>
      </w:pPr>
      <w:r w:rsidRPr="00EE3F1F">
        <w:rPr>
          <w:rFonts w:ascii="Cambria" w:hAnsi="Cambria"/>
        </w:rPr>
        <w:t xml:space="preserve">Tap into the ICBA network via </w:t>
      </w:r>
      <w:hyperlink r:id="rId8" w:history="1">
        <w:r w:rsidRPr="001C39D4">
          <w:rPr>
            <w:rStyle w:val="Hyperlink"/>
            <w:rFonts w:ascii="Cambria" w:hAnsi="Cambria"/>
          </w:rPr>
          <w:t>ICBA Community</w:t>
        </w:r>
      </w:hyperlink>
      <w:r w:rsidRPr="00EE3F1F">
        <w:rPr>
          <w:rFonts w:ascii="Cambria" w:hAnsi="Cambria"/>
        </w:rPr>
        <w:t xml:space="preserve"> </w:t>
      </w:r>
      <w:r w:rsidR="00F1472C">
        <w:rPr>
          <w:rFonts w:ascii="Cambria" w:hAnsi="Cambria"/>
        </w:rPr>
        <w:t xml:space="preserve">at </w:t>
      </w:r>
      <w:r w:rsidR="00F1472C" w:rsidRPr="00BF3652">
        <w:rPr>
          <w:rFonts w:ascii="Cambria" w:hAnsi="Cambria"/>
          <w:i/>
          <w:iCs/>
        </w:rPr>
        <w:t>&lt;</w:t>
      </w:r>
      <w:proofErr w:type="spellStart"/>
      <w:r w:rsidR="00F1472C" w:rsidRPr="00BF3652">
        <w:rPr>
          <w:rFonts w:ascii="Cambria" w:hAnsi="Cambria"/>
          <w:i/>
          <w:iCs/>
        </w:rPr>
        <w:t>i</w:t>
      </w:r>
      <w:proofErr w:type="spellEnd"/>
      <w:r w:rsidR="00F1472C" w:rsidRPr="00BF3652">
        <w:rPr>
          <w:rFonts w:ascii="Cambria" w:hAnsi="Cambria"/>
          <w:i/>
          <w:iCs/>
        </w:rPr>
        <w:t>&gt;community.icba.org&lt;</w:t>
      </w:r>
      <w:proofErr w:type="spellStart"/>
      <w:r w:rsidR="00F1472C" w:rsidRPr="00BF3652">
        <w:rPr>
          <w:rFonts w:ascii="Cambria" w:hAnsi="Cambria"/>
          <w:i/>
          <w:iCs/>
        </w:rPr>
        <w:t>i</w:t>
      </w:r>
      <w:proofErr w:type="spellEnd"/>
      <w:r w:rsidR="00F1472C" w:rsidRPr="00BF3652">
        <w:rPr>
          <w:rFonts w:ascii="Cambria" w:hAnsi="Cambria"/>
          <w:i/>
          <w:iCs/>
        </w:rPr>
        <w:t>&gt;</w:t>
      </w:r>
      <w:r w:rsidR="00F1472C">
        <w:rPr>
          <w:rFonts w:ascii="Cambria" w:hAnsi="Cambria"/>
        </w:rPr>
        <w:t xml:space="preserve"> </w:t>
      </w:r>
      <w:r w:rsidRPr="00EE3F1F">
        <w:rPr>
          <w:rFonts w:ascii="Cambria" w:hAnsi="Cambria"/>
        </w:rPr>
        <w:t xml:space="preserve">and </w:t>
      </w:r>
      <w:r w:rsidR="001C39D4">
        <w:rPr>
          <w:rFonts w:ascii="Cambria" w:hAnsi="Cambria"/>
        </w:rPr>
        <w:t>learn from your peers</w:t>
      </w:r>
      <w:r w:rsidR="00CB478E">
        <w:rPr>
          <w:rFonts w:ascii="Cambria" w:hAnsi="Cambria"/>
        </w:rPr>
        <w:t xml:space="preserve">, and explore ICBA’s vetted solution providers in our </w:t>
      </w:r>
      <w:hyperlink r:id="rId9" w:history="1">
        <w:r w:rsidR="00CB478E" w:rsidRPr="00EE3F1F">
          <w:rPr>
            <w:rStyle w:val="Hyperlink"/>
            <w:rFonts w:ascii="Cambria" w:hAnsi="Cambria"/>
          </w:rPr>
          <w:t>Solutions Directory</w:t>
        </w:r>
      </w:hyperlink>
      <w:r w:rsidR="00CB478E">
        <w:rPr>
          <w:rFonts w:ascii="Cambria" w:hAnsi="Cambria"/>
        </w:rPr>
        <w:t xml:space="preserve"> </w:t>
      </w:r>
      <w:r w:rsidR="00F1472C">
        <w:rPr>
          <w:rFonts w:ascii="Cambria" w:hAnsi="Cambria"/>
        </w:rPr>
        <w:t xml:space="preserve">at </w:t>
      </w:r>
      <w:r w:rsidR="00F1472C" w:rsidRPr="00BF3652">
        <w:rPr>
          <w:rFonts w:ascii="Cambria" w:hAnsi="Cambria"/>
          <w:i/>
          <w:iCs/>
        </w:rPr>
        <w:t>&lt;</w:t>
      </w:r>
      <w:proofErr w:type="spellStart"/>
      <w:r w:rsidR="00F1472C" w:rsidRPr="00BF3652">
        <w:rPr>
          <w:rFonts w:ascii="Cambria" w:hAnsi="Cambria"/>
          <w:i/>
          <w:iCs/>
        </w:rPr>
        <w:t>i</w:t>
      </w:r>
      <w:proofErr w:type="spellEnd"/>
      <w:r w:rsidR="00F1472C" w:rsidRPr="00BF3652">
        <w:rPr>
          <w:rFonts w:ascii="Cambria" w:hAnsi="Cambria"/>
          <w:i/>
          <w:iCs/>
        </w:rPr>
        <w:t>&gt;solutions.icba.org&lt;</w:t>
      </w:r>
      <w:proofErr w:type="spellStart"/>
      <w:r w:rsidR="00F1472C" w:rsidRPr="00BF3652">
        <w:rPr>
          <w:rFonts w:ascii="Cambria" w:hAnsi="Cambria"/>
          <w:i/>
          <w:iCs/>
        </w:rPr>
        <w:t>i</w:t>
      </w:r>
      <w:proofErr w:type="spellEnd"/>
      <w:r w:rsidR="00F1472C" w:rsidRPr="00BF3652">
        <w:rPr>
          <w:rFonts w:ascii="Cambria" w:hAnsi="Cambria"/>
          <w:i/>
          <w:iCs/>
        </w:rPr>
        <w:t>&gt;</w:t>
      </w:r>
      <w:r w:rsidR="00F1472C">
        <w:rPr>
          <w:rFonts w:ascii="Cambria" w:hAnsi="Cambria"/>
        </w:rPr>
        <w:t xml:space="preserve"> </w:t>
      </w:r>
      <w:r w:rsidR="006B6097">
        <w:rPr>
          <w:rFonts w:ascii="Cambria" w:hAnsi="Cambria"/>
        </w:rPr>
        <w:t>to support</w:t>
      </w:r>
      <w:r w:rsidR="00CB478E">
        <w:rPr>
          <w:rFonts w:ascii="Cambria" w:hAnsi="Cambria"/>
        </w:rPr>
        <w:t xml:space="preserve"> your fight against fraud.</w:t>
      </w:r>
    </w:p>
    <w:p w14:paraId="3F3255EB" w14:textId="77777777" w:rsidR="00C51F5C" w:rsidRDefault="00C51F5C" w:rsidP="001C39D4">
      <w:pPr>
        <w:spacing w:after="0" w:line="240" w:lineRule="auto"/>
        <w:rPr>
          <w:rFonts w:ascii="Cambria" w:hAnsi="Cambria"/>
        </w:rPr>
      </w:pPr>
    </w:p>
    <w:p w14:paraId="226CA281" w14:textId="77777777" w:rsidR="00DE4154" w:rsidRDefault="00DE4154" w:rsidP="00FE59AE">
      <w:pPr>
        <w:spacing w:after="0" w:line="240" w:lineRule="auto"/>
        <w:rPr>
          <w:rFonts w:ascii="Cambria" w:hAnsi="Cambria"/>
        </w:rPr>
      </w:pPr>
    </w:p>
    <w:sectPr w:rsidR="00DE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23F9"/>
    <w:multiLevelType w:val="hybridMultilevel"/>
    <w:tmpl w:val="62F0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5994"/>
    <w:multiLevelType w:val="hybridMultilevel"/>
    <w:tmpl w:val="EE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74180">
    <w:abstractNumId w:val="0"/>
  </w:num>
  <w:num w:numId="2" w16cid:durableId="369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7"/>
    <w:rsid w:val="0000012C"/>
    <w:rsid w:val="000070B5"/>
    <w:rsid w:val="0001392A"/>
    <w:rsid w:val="00020362"/>
    <w:rsid w:val="00024E32"/>
    <w:rsid w:val="00041C9F"/>
    <w:rsid w:val="00042E0A"/>
    <w:rsid w:val="00054BE6"/>
    <w:rsid w:val="00057618"/>
    <w:rsid w:val="00063816"/>
    <w:rsid w:val="00063F77"/>
    <w:rsid w:val="000923FD"/>
    <w:rsid w:val="000A1905"/>
    <w:rsid w:val="000A4BC9"/>
    <w:rsid w:val="000B38C9"/>
    <w:rsid w:val="000D2F24"/>
    <w:rsid w:val="000F7B7D"/>
    <w:rsid w:val="00116724"/>
    <w:rsid w:val="001240C5"/>
    <w:rsid w:val="00126CA1"/>
    <w:rsid w:val="00137088"/>
    <w:rsid w:val="0018224C"/>
    <w:rsid w:val="00187A96"/>
    <w:rsid w:val="001B62DB"/>
    <w:rsid w:val="001C2531"/>
    <w:rsid w:val="001C39D4"/>
    <w:rsid w:val="001C3E66"/>
    <w:rsid w:val="001D1EFB"/>
    <w:rsid w:val="00207426"/>
    <w:rsid w:val="002251CF"/>
    <w:rsid w:val="00253611"/>
    <w:rsid w:val="002900BD"/>
    <w:rsid w:val="00296D9C"/>
    <w:rsid w:val="002D3385"/>
    <w:rsid w:val="003064F3"/>
    <w:rsid w:val="0031130B"/>
    <w:rsid w:val="003113CF"/>
    <w:rsid w:val="00312DBF"/>
    <w:rsid w:val="00326C01"/>
    <w:rsid w:val="003464BD"/>
    <w:rsid w:val="00363C23"/>
    <w:rsid w:val="003678CF"/>
    <w:rsid w:val="00373347"/>
    <w:rsid w:val="00380459"/>
    <w:rsid w:val="00396F88"/>
    <w:rsid w:val="003A0CC1"/>
    <w:rsid w:val="003B0DFF"/>
    <w:rsid w:val="003C0C92"/>
    <w:rsid w:val="003E11A7"/>
    <w:rsid w:val="00413219"/>
    <w:rsid w:val="00414F5C"/>
    <w:rsid w:val="00426CFC"/>
    <w:rsid w:val="00432A9E"/>
    <w:rsid w:val="00433A93"/>
    <w:rsid w:val="00437F13"/>
    <w:rsid w:val="00447FF7"/>
    <w:rsid w:val="0046527C"/>
    <w:rsid w:val="0047025E"/>
    <w:rsid w:val="004C4DEA"/>
    <w:rsid w:val="004D58BF"/>
    <w:rsid w:val="004E1193"/>
    <w:rsid w:val="00501A17"/>
    <w:rsid w:val="005613C6"/>
    <w:rsid w:val="005649D5"/>
    <w:rsid w:val="00574FE6"/>
    <w:rsid w:val="005E2905"/>
    <w:rsid w:val="005E72D7"/>
    <w:rsid w:val="005F7993"/>
    <w:rsid w:val="006014BF"/>
    <w:rsid w:val="00601911"/>
    <w:rsid w:val="00637289"/>
    <w:rsid w:val="00642B9B"/>
    <w:rsid w:val="00643D06"/>
    <w:rsid w:val="00656DF9"/>
    <w:rsid w:val="00673D41"/>
    <w:rsid w:val="00682072"/>
    <w:rsid w:val="00683306"/>
    <w:rsid w:val="00685A70"/>
    <w:rsid w:val="00690BE0"/>
    <w:rsid w:val="006A6C61"/>
    <w:rsid w:val="006A7A6C"/>
    <w:rsid w:val="006B0F00"/>
    <w:rsid w:val="006B6097"/>
    <w:rsid w:val="006B68FC"/>
    <w:rsid w:val="006D767A"/>
    <w:rsid w:val="006E0B8D"/>
    <w:rsid w:val="006E71F8"/>
    <w:rsid w:val="006F33F4"/>
    <w:rsid w:val="006F3A61"/>
    <w:rsid w:val="0070534D"/>
    <w:rsid w:val="007150FA"/>
    <w:rsid w:val="00726E42"/>
    <w:rsid w:val="007440D3"/>
    <w:rsid w:val="00746CD1"/>
    <w:rsid w:val="00753002"/>
    <w:rsid w:val="00795406"/>
    <w:rsid w:val="007B3F3E"/>
    <w:rsid w:val="007C6DBE"/>
    <w:rsid w:val="007D34FE"/>
    <w:rsid w:val="007F4B98"/>
    <w:rsid w:val="0080632A"/>
    <w:rsid w:val="00806C6D"/>
    <w:rsid w:val="008672CC"/>
    <w:rsid w:val="0087541F"/>
    <w:rsid w:val="0088283A"/>
    <w:rsid w:val="008A236E"/>
    <w:rsid w:val="008B4A33"/>
    <w:rsid w:val="008C33FE"/>
    <w:rsid w:val="008E0E2B"/>
    <w:rsid w:val="008F52AD"/>
    <w:rsid w:val="00934162"/>
    <w:rsid w:val="0095261B"/>
    <w:rsid w:val="0095615E"/>
    <w:rsid w:val="00957244"/>
    <w:rsid w:val="009660DF"/>
    <w:rsid w:val="00975F93"/>
    <w:rsid w:val="00985C65"/>
    <w:rsid w:val="0098745D"/>
    <w:rsid w:val="009E0674"/>
    <w:rsid w:val="00A14D33"/>
    <w:rsid w:val="00A32FCE"/>
    <w:rsid w:val="00A370DB"/>
    <w:rsid w:val="00A55FD9"/>
    <w:rsid w:val="00A76100"/>
    <w:rsid w:val="00AA1AD0"/>
    <w:rsid w:val="00AA77F8"/>
    <w:rsid w:val="00B40EBC"/>
    <w:rsid w:val="00B54A12"/>
    <w:rsid w:val="00B55E77"/>
    <w:rsid w:val="00B8199E"/>
    <w:rsid w:val="00B84770"/>
    <w:rsid w:val="00BA715B"/>
    <w:rsid w:val="00BF2322"/>
    <w:rsid w:val="00BF3652"/>
    <w:rsid w:val="00BF52C7"/>
    <w:rsid w:val="00BF78B6"/>
    <w:rsid w:val="00C0514D"/>
    <w:rsid w:val="00C2509A"/>
    <w:rsid w:val="00C25F63"/>
    <w:rsid w:val="00C51F5C"/>
    <w:rsid w:val="00C57B4A"/>
    <w:rsid w:val="00C83196"/>
    <w:rsid w:val="00C93A28"/>
    <w:rsid w:val="00CB478E"/>
    <w:rsid w:val="00CB6211"/>
    <w:rsid w:val="00CE3381"/>
    <w:rsid w:val="00CF3EC5"/>
    <w:rsid w:val="00D037C4"/>
    <w:rsid w:val="00D123EF"/>
    <w:rsid w:val="00D2325A"/>
    <w:rsid w:val="00D27B97"/>
    <w:rsid w:val="00D77CB5"/>
    <w:rsid w:val="00DA0707"/>
    <w:rsid w:val="00DA60A0"/>
    <w:rsid w:val="00DD0F82"/>
    <w:rsid w:val="00DD6027"/>
    <w:rsid w:val="00DE4154"/>
    <w:rsid w:val="00DE7747"/>
    <w:rsid w:val="00E11F7E"/>
    <w:rsid w:val="00E15CC6"/>
    <w:rsid w:val="00E21A45"/>
    <w:rsid w:val="00E319A8"/>
    <w:rsid w:val="00E42061"/>
    <w:rsid w:val="00E444B2"/>
    <w:rsid w:val="00E55C41"/>
    <w:rsid w:val="00E56D90"/>
    <w:rsid w:val="00E57890"/>
    <w:rsid w:val="00E603C5"/>
    <w:rsid w:val="00E6344D"/>
    <w:rsid w:val="00E74266"/>
    <w:rsid w:val="00ED528B"/>
    <w:rsid w:val="00ED66F3"/>
    <w:rsid w:val="00EE3F1F"/>
    <w:rsid w:val="00EE6CE0"/>
    <w:rsid w:val="00EF3463"/>
    <w:rsid w:val="00EF57D2"/>
    <w:rsid w:val="00F104B6"/>
    <w:rsid w:val="00F1472C"/>
    <w:rsid w:val="00F23415"/>
    <w:rsid w:val="00F32C0E"/>
    <w:rsid w:val="00F44A96"/>
    <w:rsid w:val="00F5535E"/>
    <w:rsid w:val="00F603FA"/>
    <w:rsid w:val="00F632AF"/>
    <w:rsid w:val="00F85575"/>
    <w:rsid w:val="00FB1936"/>
    <w:rsid w:val="00FB5881"/>
    <w:rsid w:val="00FD71E2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7896"/>
  <w15:chartTrackingRefBased/>
  <w15:docId w15:val="{F14E94F5-4EB2-4040-B5A6-129CB9D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icba.org/main/groups/72279/loun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lutions.ic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4632-8616-4D70-AFF9-2AE465D3C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95CD-6A79-4AF5-96BF-2412369B2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1073E3DC-D35D-4374-894A-C84DE2EC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4</cp:revision>
  <dcterms:created xsi:type="dcterms:W3CDTF">2024-08-29T16:12:00Z</dcterms:created>
  <dcterms:modified xsi:type="dcterms:W3CDTF">2024-09-13T19:03:00Z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