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17950D38" w:rsidR="00E17690" w:rsidRPr="00E86899" w:rsidRDefault="0042057A"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January </w:t>
      </w:r>
      <w:r w:rsidR="003D1D8E">
        <w:rPr>
          <w:rStyle w:val="01GraphikboldICB"/>
          <w:rFonts w:asciiTheme="minorHAnsi" w:hAnsiTheme="minorHAnsi" w:cstheme="minorHAnsi"/>
          <w:w w:val="101"/>
          <w:sz w:val="22"/>
          <w:szCs w:val="22"/>
        </w:rPr>
        <w:t>202</w:t>
      </w:r>
      <w:r>
        <w:rPr>
          <w:rStyle w:val="01GraphikboldICB"/>
          <w:rFonts w:asciiTheme="minorHAnsi" w:hAnsiTheme="minorHAnsi" w:cstheme="minorHAnsi"/>
          <w:w w:val="101"/>
          <w:sz w:val="22"/>
          <w:szCs w:val="22"/>
        </w:rPr>
        <w:t>1</w:t>
      </w:r>
    </w:p>
    <w:p w14:paraId="73590021" w14:textId="00F1F33F" w:rsidR="00536E0E" w:rsidRDefault="00C6147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Innovation Station by </w:t>
      </w:r>
      <w:r w:rsidR="004474B9">
        <w:rPr>
          <w:rStyle w:val="01GraphikboldICB"/>
          <w:rFonts w:asciiTheme="minorHAnsi" w:hAnsiTheme="minorHAnsi" w:cstheme="minorHAnsi"/>
          <w:w w:val="101"/>
          <w:sz w:val="22"/>
          <w:szCs w:val="22"/>
        </w:rPr>
        <w:t>Charles Potts</w:t>
      </w:r>
    </w:p>
    <w:p w14:paraId="4E55BE17" w14:textId="77777777" w:rsidR="002A6760" w:rsidRDefault="002A6760" w:rsidP="002A6760">
      <w:pPr>
        <w:pStyle w:val="01BodyNoIndentGeorgiaJustify"/>
        <w:rPr>
          <w:rFonts w:ascii="Graphik-Medium" w:hAnsi="Graphik-Medium" w:cstheme="minorHAnsi"/>
          <w:b/>
          <w:bCs/>
          <w:w w:val="101"/>
          <w:sz w:val="22"/>
          <w:szCs w:val="22"/>
          <w:u w:color="002DD6"/>
        </w:rPr>
      </w:pPr>
    </w:p>
    <w:p w14:paraId="2102DC99" w14:textId="67D11D50" w:rsidR="0042057A" w:rsidRDefault="0042057A" w:rsidP="000E4669">
      <w:pPr>
        <w:suppressAutoHyphens/>
        <w:autoSpaceDE w:val="0"/>
        <w:autoSpaceDN w:val="0"/>
        <w:adjustRightInd w:val="0"/>
        <w:spacing w:line="720" w:lineRule="atLeast"/>
        <w:textAlignment w:val="center"/>
        <w:rPr>
          <w:rFonts w:ascii="Graphik Bold" w:hAnsi="Graphik Bold" w:cs="Graphik Bold"/>
          <w:b/>
          <w:bCs/>
          <w:color w:val="000000"/>
          <w:sz w:val="55"/>
          <w:szCs w:val="55"/>
        </w:rPr>
      </w:pPr>
      <w:r w:rsidRPr="0042057A">
        <w:rPr>
          <w:rFonts w:ascii="Graphik Bold" w:hAnsi="Graphik Bold" w:cs="Graphik Bold"/>
          <w:b/>
          <w:bCs/>
          <w:color w:val="000000"/>
          <w:sz w:val="55"/>
          <w:szCs w:val="55"/>
        </w:rPr>
        <w:t xml:space="preserve">6 innovation trends for 2021 </w:t>
      </w:r>
    </w:p>
    <w:p w14:paraId="5C5E800B" w14:textId="77777777" w:rsidR="0042057A" w:rsidRPr="0042057A" w:rsidRDefault="0042057A" w:rsidP="000E4669">
      <w:pPr>
        <w:suppressAutoHyphens/>
        <w:autoSpaceDE w:val="0"/>
        <w:autoSpaceDN w:val="0"/>
        <w:adjustRightInd w:val="0"/>
        <w:spacing w:line="720" w:lineRule="atLeast"/>
        <w:textAlignment w:val="center"/>
        <w:rPr>
          <w:rFonts w:ascii="Graphik Bold" w:hAnsi="Graphik Bold" w:cs="Graphik Bold"/>
          <w:b/>
          <w:bCs/>
          <w:color w:val="000000"/>
          <w:sz w:val="55"/>
          <w:szCs w:val="55"/>
        </w:rPr>
      </w:pPr>
    </w:p>
    <w:p w14:paraId="541B25CF" w14:textId="77777777" w:rsidR="0042057A" w:rsidRPr="0042057A" w:rsidRDefault="0042057A" w:rsidP="0042057A">
      <w:pPr>
        <w:keepNext/>
        <w:framePr w:dropCap="drop" w:lines="2" w:wrap="auto" w:vAnchor="text" w:hAnchor="text"/>
        <w:tabs>
          <w:tab w:val="left" w:pos="180"/>
        </w:tabs>
        <w:suppressAutoHyphens/>
        <w:autoSpaceDE w:val="0"/>
        <w:autoSpaceDN w:val="0"/>
        <w:adjustRightInd w:val="0"/>
        <w:spacing w:line="240" w:lineRule="atLeast"/>
        <w:textAlignment w:val="center"/>
        <w:rPr>
          <w:rFonts w:ascii="Graphik Bold" w:hAnsi="Graphik Bold" w:cs="Graphik Bold"/>
          <w:b/>
          <w:bCs/>
          <w:color w:val="2DC6DB"/>
          <w:spacing w:val="13"/>
          <w:sz w:val="52"/>
          <w:szCs w:val="52"/>
        </w:rPr>
      </w:pPr>
      <w:r w:rsidRPr="0042057A">
        <w:rPr>
          <w:rFonts w:ascii="Graphik Bold" w:hAnsi="Graphik Bold" w:cs="Graphik Bold"/>
          <w:b/>
          <w:bCs/>
          <w:color w:val="2DC6DB"/>
          <w:spacing w:val="13"/>
          <w:sz w:val="52"/>
          <w:szCs w:val="52"/>
        </w:rPr>
        <w:t>A</w:t>
      </w:r>
    </w:p>
    <w:p w14:paraId="30865A01" w14:textId="77777777" w:rsidR="0042057A" w:rsidRPr="0042057A" w:rsidRDefault="0042057A" w:rsidP="0042057A">
      <w:pPr>
        <w:tabs>
          <w:tab w:val="left" w:pos="180"/>
        </w:tabs>
        <w:suppressAutoHyphens/>
        <w:autoSpaceDE w:val="0"/>
        <w:autoSpaceDN w:val="0"/>
        <w:adjustRightInd w:val="0"/>
        <w:spacing w:line="240" w:lineRule="atLeast"/>
        <w:textAlignment w:val="center"/>
        <w:rPr>
          <w:rFonts w:ascii="Georgia Pro" w:hAnsi="Georgia Pro" w:cs="Georgia Pro"/>
          <w:color w:val="000000"/>
          <w:sz w:val="18"/>
          <w:szCs w:val="18"/>
        </w:rPr>
      </w:pPr>
      <w:r w:rsidRPr="0042057A">
        <w:rPr>
          <w:rFonts w:ascii="Georgia Pro" w:hAnsi="Georgia Pro" w:cs="Georgia Pro"/>
          <w:color w:val="000000"/>
          <w:sz w:val="18"/>
          <w:szCs w:val="18"/>
        </w:rPr>
        <w:t xml:space="preserve">s we start the new year, much remains uncertain. In general, “uncertainty” implies a state of limited knowledge that makes it impossible or impracticable to describe a future outcome. And it’s this ambiguity that many </w:t>
      </w:r>
      <w:proofErr w:type="gramStart"/>
      <w:r w:rsidRPr="0042057A">
        <w:rPr>
          <w:rFonts w:ascii="Georgia Pro" w:hAnsi="Georgia Pro" w:cs="Georgia Pro"/>
          <w:color w:val="000000"/>
          <w:sz w:val="18"/>
          <w:szCs w:val="18"/>
        </w:rPr>
        <w:t>community</w:t>
      </w:r>
      <w:proofErr w:type="gramEnd"/>
      <w:r w:rsidRPr="0042057A">
        <w:rPr>
          <w:rFonts w:ascii="Georgia Pro" w:hAnsi="Georgia Pro" w:cs="Georgia Pro"/>
          <w:color w:val="000000"/>
          <w:sz w:val="18"/>
          <w:szCs w:val="18"/>
        </w:rPr>
        <w:t xml:space="preserve"> banks face when addressing market needs for 2021.</w:t>
      </w:r>
    </w:p>
    <w:p w14:paraId="2D37B01B" w14:textId="77777777" w:rsidR="0042057A" w:rsidRPr="0042057A" w:rsidRDefault="0042057A" w:rsidP="0042057A">
      <w:pPr>
        <w:tabs>
          <w:tab w:val="left" w:pos="180"/>
        </w:tabs>
        <w:suppressAutoHyphens/>
        <w:autoSpaceDE w:val="0"/>
        <w:autoSpaceDN w:val="0"/>
        <w:adjustRightInd w:val="0"/>
        <w:spacing w:line="240" w:lineRule="atLeast"/>
        <w:ind w:firstLine="180"/>
        <w:textAlignment w:val="center"/>
        <w:rPr>
          <w:rFonts w:ascii="Georgia Pro" w:hAnsi="Georgia Pro" w:cs="Georgia Pro"/>
          <w:color w:val="000000"/>
          <w:sz w:val="18"/>
          <w:szCs w:val="18"/>
        </w:rPr>
      </w:pPr>
      <w:r w:rsidRPr="0042057A">
        <w:rPr>
          <w:rFonts w:ascii="Georgia Pro" w:hAnsi="Georgia Pro" w:cs="Georgia Pro"/>
          <w:color w:val="000000"/>
          <w:spacing w:val="-4"/>
          <w:sz w:val="18"/>
          <w:szCs w:val="18"/>
        </w:rPr>
        <w:t>Despite this, community banks will continue to demonstrate a thoughtful and courageous approach to innovation t</w:t>
      </w:r>
      <w:r w:rsidRPr="0042057A">
        <w:rPr>
          <w:rFonts w:ascii="Georgia Pro" w:hAnsi="Georgia Pro" w:cs="Georgia Pro"/>
          <w:color w:val="000000"/>
          <w:sz w:val="18"/>
          <w:szCs w:val="18"/>
        </w:rPr>
        <w:t xml:space="preserve">o meet the needs of their customers. Here are six opportunities for community bankers to consider as they flesh out their 2021 planning. </w:t>
      </w:r>
    </w:p>
    <w:p w14:paraId="4C6BCA2F" w14:textId="77777777" w:rsidR="0042057A" w:rsidRPr="0042057A" w:rsidRDefault="0042057A" w:rsidP="0042057A">
      <w:pPr>
        <w:tabs>
          <w:tab w:val="left" w:pos="180"/>
        </w:tabs>
        <w:suppressAutoHyphens/>
        <w:autoSpaceDE w:val="0"/>
        <w:autoSpaceDN w:val="0"/>
        <w:adjustRightInd w:val="0"/>
        <w:spacing w:line="240" w:lineRule="atLeast"/>
        <w:ind w:firstLine="180"/>
        <w:textAlignment w:val="center"/>
        <w:rPr>
          <w:rFonts w:ascii="Georgia Pro" w:hAnsi="Georgia Pro" w:cs="Georgia Pro"/>
          <w:color w:val="000000"/>
          <w:sz w:val="18"/>
          <w:szCs w:val="18"/>
        </w:rPr>
      </w:pPr>
    </w:p>
    <w:p w14:paraId="5E3846C3" w14:textId="77777777" w:rsidR="0042057A" w:rsidRPr="0042057A" w:rsidRDefault="0042057A" w:rsidP="0042057A">
      <w:pPr>
        <w:tabs>
          <w:tab w:val="left" w:pos="180"/>
        </w:tabs>
        <w:suppressAutoHyphens/>
        <w:autoSpaceDE w:val="0"/>
        <w:autoSpaceDN w:val="0"/>
        <w:adjustRightInd w:val="0"/>
        <w:spacing w:line="240" w:lineRule="atLeast"/>
        <w:textAlignment w:val="center"/>
        <w:rPr>
          <w:rFonts w:ascii="Georgia Pro" w:hAnsi="Georgia Pro" w:cs="Georgia Pro"/>
          <w:color w:val="000000"/>
          <w:sz w:val="18"/>
          <w:szCs w:val="18"/>
        </w:rPr>
      </w:pPr>
      <w:r w:rsidRPr="0042057A">
        <w:rPr>
          <w:rFonts w:ascii="Graphik Bold" w:hAnsi="Graphik Bold" w:cs="Graphik Bold"/>
          <w:b/>
          <w:bCs/>
          <w:color w:val="000000"/>
          <w:sz w:val="18"/>
          <w:szCs w:val="18"/>
        </w:rPr>
        <w:t>1. Digitalization.</w:t>
      </w:r>
      <w:r w:rsidRPr="0042057A">
        <w:rPr>
          <w:rFonts w:ascii="Georgia Pro" w:hAnsi="Georgia Pro" w:cs="Georgia Pro"/>
          <w:b/>
          <w:bCs/>
          <w:color w:val="000000"/>
          <w:sz w:val="18"/>
          <w:szCs w:val="18"/>
        </w:rPr>
        <w:t xml:space="preserve"> </w:t>
      </w:r>
      <w:r w:rsidRPr="0042057A">
        <w:rPr>
          <w:rFonts w:ascii="Georgia Pro" w:hAnsi="Georgia Pro" w:cs="Georgia Pro"/>
          <w:color w:val="000000"/>
          <w:sz w:val="18"/>
          <w:szCs w:val="18"/>
        </w:rPr>
        <w:t>Demands on community banks to process Paycheck Protection Program loans for small businesses in 2020 accelerated digitalization and laid a strong foundation for future innovation around digital products and services. Investing time and resources into digitalization in 2021 is non</w:t>
      </w:r>
      <w:r w:rsidRPr="0042057A">
        <w:rPr>
          <w:rFonts w:ascii="Cambria Math" w:hAnsi="Cambria Math" w:cs="Cambria Math"/>
          <w:color w:val="000000"/>
          <w:sz w:val="18"/>
          <w:szCs w:val="18"/>
        </w:rPr>
        <w:t>‑</w:t>
      </w:r>
      <w:r w:rsidRPr="0042057A">
        <w:rPr>
          <w:rFonts w:ascii="Georgia Pro" w:hAnsi="Georgia Pro" w:cs="Georgia Pro"/>
          <w:color w:val="000000"/>
          <w:sz w:val="18"/>
          <w:szCs w:val="18"/>
        </w:rPr>
        <w:t>negotiable.</w:t>
      </w:r>
    </w:p>
    <w:p w14:paraId="2FFF90F1" w14:textId="77777777" w:rsidR="0042057A" w:rsidRPr="0042057A" w:rsidRDefault="0042057A" w:rsidP="0042057A">
      <w:pPr>
        <w:tabs>
          <w:tab w:val="left" w:pos="180"/>
        </w:tabs>
        <w:suppressAutoHyphens/>
        <w:autoSpaceDE w:val="0"/>
        <w:autoSpaceDN w:val="0"/>
        <w:adjustRightInd w:val="0"/>
        <w:spacing w:line="240" w:lineRule="atLeast"/>
        <w:textAlignment w:val="center"/>
        <w:rPr>
          <w:rFonts w:ascii="Georgia Pro" w:hAnsi="Georgia Pro" w:cs="Georgia Pro"/>
          <w:color w:val="000000"/>
          <w:sz w:val="18"/>
          <w:szCs w:val="18"/>
        </w:rPr>
      </w:pPr>
      <w:r w:rsidRPr="0042057A">
        <w:rPr>
          <w:rFonts w:ascii="Graphik Bold" w:hAnsi="Graphik Bold" w:cs="Graphik Bold"/>
          <w:b/>
          <w:bCs/>
          <w:color w:val="000000"/>
          <w:sz w:val="18"/>
          <w:szCs w:val="18"/>
        </w:rPr>
        <w:t>2. Artificial intelligence and machine learning.</w:t>
      </w:r>
      <w:r w:rsidRPr="0042057A">
        <w:rPr>
          <w:rFonts w:ascii="Georgia Pro" w:hAnsi="Georgia Pro" w:cs="Georgia Pro"/>
          <w:color w:val="000000"/>
          <w:sz w:val="18"/>
          <w:szCs w:val="18"/>
        </w:rPr>
        <w:t xml:space="preserve"> Expect a heightened focus on using AI and machine learning to improve digital and mobile-first strategies and support front- and back-office processes. Processes enhanced by these tools include ever more complex regulatory compliance, know your customer (KYC) risk management, and Bank Secrecy Act (BSA) and anti-money laundering (AML) requirements from an underwriting perspective. </w:t>
      </w:r>
    </w:p>
    <w:p w14:paraId="7A6828D1" w14:textId="77777777" w:rsidR="0042057A" w:rsidRPr="0042057A" w:rsidRDefault="0042057A" w:rsidP="0042057A">
      <w:pPr>
        <w:tabs>
          <w:tab w:val="left" w:pos="180"/>
        </w:tabs>
        <w:suppressAutoHyphens/>
        <w:autoSpaceDE w:val="0"/>
        <w:autoSpaceDN w:val="0"/>
        <w:adjustRightInd w:val="0"/>
        <w:spacing w:line="240" w:lineRule="atLeast"/>
        <w:ind w:firstLine="180"/>
        <w:textAlignment w:val="center"/>
        <w:rPr>
          <w:rFonts w:ascii="Georgia Pro" w:hAnsi="Georgia Pro" w:cs="Georgia Pro"/>
          <w:color w:val="000000"/>
          <w:sz w:val="18"/>
          <w:szCs w:val="18"/>
        </w:rPr>
      </w:pPr>
    </w:p>
    <w:p w14:paraId="08F2CDC5" w14:textId="77777777" w:rsidR="0042057A" w:rsidRPr="0042057A" w:rsidRDefault="0042057A" w:rsidP="0042057A">
      <w:pPr>
        <w:tabs>
          <w:tab w:val="left" w:pos="180"/>
        </w:tabs>
        <w:suppressAutoHyphens/>
        <w:autoSpaceDE w:val="0"/>
        <w:autoSpaceDN w:val="0"/>
        <w:adjustRightInd w:val="0"/>
        <w:spacing w:line="240" w:lineRule="atLeast"/>
        <w:textAlignment w:val="center"/>
        <w:rPr>
          <w:rFonts w:ascii="Georgia Pro" w:hAnsi="Georgia Pro" w:cs="Georgia Pro"/>
          <w:color w:val="000000"/>
          <w:sz w:val="18"/>
          <w:szCs w:val="18"/>
        </w:rPr>
      </w:pPr>
      <w:r w:rsidRPr="0042057A">
        <w:rPr>
          <w:rFonts w:ascii="Graphik Bold" w:hAnsi="Graphik Bold" w:cs="Graphik Bold"/>
          <w:b/>
          <w:bCs/>
          <w:color w:val="000000"/>
          <w:sz w:val="18"/>
          <w:szCs w:val="18"/>
        </w:rPr>
        <w:t xml:space="preserve">3. </w:t>
      </w:r>
      <w:proofErr w:type="spellStart"/>
      <w:r w:rsidRPr="0042057A">
        <w:rPr>
          <w:rFonts w:ascii="Graphik Bold" w:hAnsi="Graphik Bold" w:cs="Graphik Bold"/>
          <w:b/>
          <w:bCs/>
          <w:color w:val="000000"/>
          <w:sz w:val="18"/>
          <w:szCs w:val="18"/>
        </w:rPr>
        <w:t>Regtech</w:t>
      </w:r>
      <w:proofErr w:type="spellEnd"/>
      <w:r w:rsidRPr="0042057A">
        <w:rPr>
          <w:rFonts w:ascii="Georgia Pro" w:hAnsi="Georgia Pro" w:cs="Georgia Pro"/>
          <w:b/>
          <w:bCs/>
          <w:color w:val="000000"/>
          <w:sz w:val="18"/>
          <w:szCs w:val="18"/>
        </w:rPr>
        <w:t xml:space="preserve">. </w:t>
      </w:r>
      <w:r w:rsidRPr="0042057A">
        <w:rPr>
          <w:rFonts w:ascii="Georgia Pro" w:hAnsi="Georgia Pro" w:cs="Georgia Pro"/>
          <w:color w:val="000000"/>
          <w:sz w:val="18"/>
          <w:szCs w:val="18"/>
        </w:rPr>
        <w:t xml:space="preserve">Leadership changes at the national level often correlate strongly with increased activity around regulatory needs, changes and technology. This may result in a shift in the tools and technologies community banks employ to meet the needs of their markets. ICBA will continue to focus on the </w:t>
      </w:r>
      <w:proofErr w:type="spellStart"/>
      <w:r w:rsidRPr="0042057A">
        <w:rPr>
          <w:rFonts w:ascii="Georgia Pro" w:hAnsi="Georgia Pro" w:cs="Georgia Pro"/>
          <w:color w:val="000000"/>
          <w:sz w:val="18"/>
          <w:szCs w:val="18"/>
        </w:rPr>
        <w:t>regtech</w:t>
      </w:r>
      <w:proofErr w:type="spellEnd"/>
      <w:r w:rsidRPr="0042057A">
        <w:rPr>
          <w:rFonts w:ascii="Georgia Pro" w:hAnsi="Georgia Pro" w:cs="Georgia Pro"/>
          <w:color w:val="000000"/>
          <w:sz w:val="18"/>
          <w:szCs w:val="18"/>
        </w:rPr>
        <w:t xml:space="preserve"> space and apprise members of new developments.</w:t>
      </w:r>
    </w:p>
    <w:p w14:paraId="65CCAB26" w14:textId="77777777" w:rsidR="0042057A" w:rsidRPr="0042057A" w:rsidRDefault="0042057A" w:rsidP="0042057A">
      <w:pPr>
        <w:tabs>
          <w:tab w:val="left" w:pos="180"/>
        </w:tabs>
        <w:suppressAutoHyphens/>
        <w:autoSpaceDE w:val="0"/>
        <w:autoSpaceDN w:val="0"/>
        <w:adjustRightInd w:val="0"/>
        <w:spacing w:line="240" w:lineRule="atLeast"/>
        <w:textAlignment w:val="center"/>
        <w:rPr>
          <w:rFonts w:ascii="Georgia Pro" w:hAnsi="Georgia Pro" w:cs="Georgia Pro"/>
          <w:color w:val="000000"/>
          <w:sz w:val="18"/>
          <w:szCs w:val="18"/>
        </w:rPr>
      </w:pPr>
      <w:r w:rsidRPr="0042057A">
        <w:rPr>
          <w:rFonts w:ascii="Graphik Bold" w:hAnsi="Graphik Bold" w:cs="Graphik Bold"/>
          <w:b/>
          <w:bCs/>
          <w:color w:val="000000"/>
          <w:sz w:val="18"/>
          <w:szCs w:val="18"/>
        </w:rPr>
        <w:t xml:space="preserve">4. Cybersecurity. </w:t>
      </w:r>
      <w:r w:rsidRPr="0042057A">
        <w:rPr>
          <w:rFonts w:ascii="Georgia Pro" w:hAnsi="Georgia Pro" w:cs="Georgia Pro"/>
          <w:color w:val="000000"/>
          <w:sz w:val="18"/>
          <w:szCs w:val="18"/>
        </w:rPr>
        <w:t>Cybersecurity should be a part of any bank’s comprehensive, strategic approach to fintech and innovation initiatives. ICBA’s Preferred Service Provider Directory is an excellent place to look for solutions geared to meet community banks’ needs.</w:t>
      </w:r>
    </w:p>
    <w:p w14:paraId="77CEAD90" w14:textId="77777777" w:rsidR="0042057A" w:rsidRPr="0042057A" w:rsidRDefault="0042057A" w:rsidP="0042057A">
      <w:pPr>
        <w:tabs>
          <w:tab w:val="left" w:pos="180"/>
        </w:tabs>
        <w:suppressAutoHyphens/>
        <w:autoSpaceDE w:val="0"/>
        <w:autoSpaceDN w:val="0"/>
        <w:adjustRightInd w:val="0"/>
        <w:spacing w:line="240" w:lineRule="atLeast"/>
        <w:ind w:firstLine="180"/>
        <w:textAlignment w:val="center"/>
        <w:rPr>
          <w:rFonts w:ascii="Georgia Pro" w:hAnsi="Georgia Pro" w:cs="Georgia Pro"/>
          <w:color w:val="000000"/>
          <w:sz w:val="18"/>
          <w:szCs w:val="18"/>
        </w:rPr>
      </w:pPr>
    </w:p>
    <w:p w14:paraId="4EE56892" w14:textId="77777777" w:rsidR="0042057A" w:rsidRPr="0042057A" w:rsidRDefault="0042057A" w:rsidP="0042057A">
      <w:pPr>
        <w:tabs>
          <w:tab w:val="left" w:pos="180"/>
        </w:tabs>
        <w:suppressAutoHyphens/>
        <w:autoSpaceDE w:val="0"/>
        <w:autoSpaceDN w:val="0"/>
        <w:adjustRightInd w:val="0"/>
        <w:spacing w:line="240" w:lineRule="atLeast"/>
        <w:textAlignment w:val="center"/>
        <w:rPr>
          <w:rFonts w:ascii="Georgia Pro" w:hAnsi="Georgia Pro" w:cs="Georgia Pro"/>
          <w:color w:val="000000"/>
          <w:sz w:val="18"/>
          <w:szCs w:val="18"/>
        </w:rPr>
      </w:pPr>
      <w:r w:rsidRPr="0042057A">
        <w:rPr>
          <w:rFonts w:ascii="Graphik Bold" w:hAnsi="Graphik Bold" w:cs="Graphik Bold"/>
          <w:b/>
          <w:bCs/>
          <w:color w:val="000000"/>
          <w:sz w:val="18"/>
          <w:szCs w:val="18"/>
        </w:rPr>
        <w:t xml:space="preserve">5. Financial literacy. </w:t>
      </w:r>
      <w:r w:rsidRPr="0042057A">
        <w:rPr>
          <w:rFonts w:ascii="Georgia Pro" w:hAnsi="Georgia Pro" w:cs="Georgia Pro"/>
          <w:color w:val="000000"/>
          <w:sz w:val="18"/>
          <w:szCs w:val="18"/>
        </w:rPr>
        <w:t>Look for heightened awareness and increased demand for solutions to serve underbanked and underserved people. Several new entrants appeared on the scene in late 2020 to address financial literacy and financial wellness needs of these communities. This will be an essential year for increased awareness and adoption at the national level.</w:t>
      </w:r>
    </w:p>
    <w:p w14:paraId="51E97B3C" w14:textId="77777777" w:rsidR="0042057A" w:rsidRPr="0042057A" w:rsidRDefault="0042057A" w:rsidP="0042057A">
      <w:pPr>
        <w:tabs>
          <w:tab w:val="left" w:pos="180"/>
        </w:tabs>
        <w:suppressAutoHyphens/>
        <w:autoSpaceDE w:val="0"/>
        <w:autoSpaceDN w:val="0"/>
        <w:adjustRightInd w:val="0"/>
        <w:spacing w:line="240" w:lineRule="atLeast"/>
        <w:ind w:firstLine="180"/>
        <w:textAlignment w:val="center"/>
        <w:rPr>
          <w:rFonts w:ascii="Georgia Pro" w:hAnsi="Georgia Pro" w:cs="Georgia Pro"/>
          <w:color w:val="000000"/>
          <w:sz w:val="18"/>
          <w:szCs w:val="18"/>
        </w:rPr>
      </w:pPr>
    </w:p>
    <w:p w14:paraId="0529909B" w14:textId="77777777" w:rsidR="0042057A" w:rsidRPr="0042057A" w:rsidRDefault="0042057A" w:rsidP="0042057A">
      <w:pPr>
        <w:tabs>
          <w:tab w:val="left" w:pos="180"/>
        </w:tabs>
        <w:suppressAutoHyphens/>
        <w:autoSpaceDE w:val="0"/>
        <w:autoSpaceDN w:val="0"/>
        <w:adjustRightInd w:val="0"/>
        <w:spacing w:line="240" w:lineRule="atLeast"/>
        <w:textAlignment w:val="center"/>
        <w:rPr>
          <w:rFonts w:ascii="Georgia Pro" w:hAnsi="Georgia Pro" w:cs="Georgia Pro"/>
          <w:color w:val="000000"/>
          <w:sz w:val="18"/>
          <w:szCs w:val="18"/>
        </w:rPr>
      </w:pPr>
      <w:r w:rsidRPr="0042057A">
        <w:rPr>
          <w:rFonts w:ascii="Graphik Bold" w:hAnsi="Graphik Bold" w:cs="Graphik Bold"/>
          <w:b/>
          <w:bCs/>
          <w:color w:val="000000"/>
          <w:sz w:val="18"/>
          <w:szCs w:val="18"/>
        </w:rPr>
        <w:t xml:space="preserve">6. Cryptocurrency. </w:t>
      </w:r>
      <w:r w:rsidRPr="0042057A">
        <w:rPr>
          <w:rFonts w:ascii="Georgia Pro" w:hAnsi="Georgia Pro" w:cs="Georgia Pro"/>
          <w:color w:val="000000"/>
          <w:sz w:val="18"/>
          <w:szCs w:val="18"/>
        </w:rPr>
        <w:t xml:space="preserve">In 2021, expect to see more robust and solid use cases for cryptocurrency. The year will bring opportunities for community banks to adopt some of these capabilities to serve targeted subsets of the market.  </w:t>
      </w:r>
    </w:p>
    <w:p w14:paraId="269D3BB0" w14:textId="77777777" w:rsidR="0042057A" w:rsidRPr="0042057A" w:rsidRDefault="0042057A" w:rsidP="0042057A">
      <w:pPr>
        <w:tabs>
          <w:tab w:val="left" w:pos="180"/>
        </w:tabs>
        <w:suppressAutoHyphens/>
        <w:autoSpaceDE w:val="0"/>
        <w:autoSpaceDN w:val="0"/>
        <w:adjustRightInd w:val="0"/>
        <w:spacing w:line="240" w:lineRule="atLeast"/>
        <w:ind w:firstLine="180"/>
        <w:textAlignment w:val="center"/>
        <w:rPr>
          <w:rFonts w:ascii="Georgia Pro" w:hAnsi="Georgia Pro" w:cs="Georgia Pro"/>
          <w:color w:val="000000"/>
          <w:sz w:val="18"/>
          <w:szCs w:val="18"/>
        </w:rPr>
      </w:pPr>
    </w:p>
    <w:p w14:paraId="79079D4F" w14:textId="77777777" w:rsidR="0042057A" w:rsidRPr="0042057A" w:rsidRDefault="0042057A" w:rsidP="0042057A">
      <w:pPr>
        <w:tabs>
          <w:tab w:val="left" w:pos="180"/>
        </w:tabs>
        <w:suppressAutoHyphens/>
        <w:autoSpaceDE w:val="0"/>
        <w:autoSpaceDN w:val="0"/>
        <w:adjustRightInd w:val="0"/>
        <w:spacing w:line="240" w:lineRule="atLeast"/>
        <w:ind w:firstLine="180"/>
        <w:textAlignment w:val="center"/>
        <w:rPr>
          <w:rFonts w:ascii="Georgia Pro" w:hAnsi="Georgia Pro" w:cs="Georgia Pro"/>
          <w:color w:val="000000"/>
          <w:sz w:val="18"/>
          <w:szCs w:val="18"/>
        </w:rPr>
      </w:pPr>
      <w:r w:rsidRPr="0042057A">
        <w:rPr>
          <w:rFonts w:ascii="Georgia Pro" w:hAnsi="Georgia Pro" w:cs="Georgia Pro"/>
          <w:color w:val="000000"/>
          <w:sz w:val="18"/>
          <w:szCs w:val="18"/>
        </w:rPr>
        <w:t xml:space="preserve">Equally important is your continued involvement in ICBA. ICBA’s </w:t>
      </w:r>
      <w:proofErr w:type="spellStart"/>
      <w:r w:rsidRPr="0042057A">
        <w:rPr>
          <w:rFonts w:ascii="Georgia Pro" w:hAnsi="Georgia Pro" w:cs="Georgia Pro"/>
          <w:color w:val="000000"/>
          <w:sz w:val="18"/>
          <w:szCs w:val="18"/>
        </w:rPr>
        <w:t>ThinkTECH</w:t>
      </w:r>
      <w:proofErr w:type="spellEnd"/>
      <w:r w:rsidRPr="0042057A">
        <w:rPr>
          <w:rFonts w:ascii="Georgia Pro" w:hAnsi="Georgia Pro" w:cs="Georgia Pro"/>
          <w:color w:val="000000"/>
          <w:sz w:val="18"/>
          <w:szCs w:val="18"/>
        </w:rPr>
        <w:t xml:space="preserve"> Accelerator 3.0, which launches Jan. 6, provides community banks with opportunities to engage directly, partner with early stage </w:t>
      </w:r>
      <w:proofErr w:type="spellStart"/>
      <w:r w:rsidRPr="0042057A">
        <w:rPr>
          <w:rFonts w:ascii="Georgia Pro" w:hAnsi="Georgia Pro" w:cs="Georgia Pro"/>
          <w:color w:val="000000"/>
          <w:sz w:val="18"/>
          <w:szCs w:val="18"/>
        </w:rPr>
        <w:t>fintechs</w:t>
      </w:r>
      <w:proofErr w:type="spellEnd"/>
      <w:r w:rsidRPr="0042057A">
        <w:rPr>
          <w:rFonts w:ascii="Georgia Pro" w:hAnsi="Georgia Pro" w:cs="Georgia Pro"/>
          <w:color w:val="000000"/>
          <w:sz w:val="18"/>
          <w:szCs w:val="18"/>
        </w:rPr>
        <w:t xml:space="preserve"> and help shape the future of community banking. Visit </w:t>
      </w:r>
      <w:r w:rsidRPr="0042057A">
        <w:rPr>
          <w:rFonts w:ascii="Georgia Pro" w:hAnsi="Georgia Pro" w:cs="Georgia Pro"/>
          <w:i/>
          <w:iCs/>
          <w:color w:val="000000"/>
          <w:sz w:val="18"/>
          <w:szCs w:val="18"/>
        </w:rPr>
        <w:t>icba.org/</w:t>
      </w:r>
      <w:proofErr w:type="spellStart"/>
      <w:r w:rsidRPr="0042057A">
        <w:rPr>
          <w:rFonts w:ascii="Georgia Pro" w:hAnsi="Georgia Pro" w:cs="Georgia Pro"/>
          <w:i/>
          <w:iCs/>
          <w:color w:val="000000"/>
          <w:sz w:val="18"/>
          <w:szCs w:val="18"/>
        </w:rPr>
        <w:t>thinktech</w:t>
      </w:r>
      <w:proofErr w:type="spellEnd"/>
      <w:r w:rsidRPr="0042057A">
        <w:rPr>
          <w:rFonts w:ascii="Georgia Pro" w:hAnsi="Georgia Pro" w:cs="Georgia Pro"/>
          <w:i/>
          <w:iCs/>
          <w:color w:val="000000"/>
          <w:sz w:val="18"/>
          <w:szCs w:val="18"/>
        </w:rPr>
        <w:t xml:space="preserve"> </w:t>
      </w:r>
      <w:r w:rsidRPr="0042057A">
        <w:rPr>
          <w:rFonts w:ascii="Georgia Pro" w:hAnsi="Georgia Pro" w:cs="Georgia Pro"/>
          <w:color w:val="000000"/>
          <w:sz w:val="18"/>
          <w:szCs w:val="18"/>
        </w:rPr>
        <w:t>and sign up to lend your expertise and insights as a mentor.</w:t>
      </w:r>
    </w:p>
    <w:p w14:paraId="16884A61" w14:textId="342ADFC1" w:rsidR="000E4669" w:rsidRDefault="0042057A" w:rsidP="0042057A">
      <w:pPr>
        <w:rPr>
          <w:rFonts w:cstheme="minorHAnsi"/>
          <w:color w:val="000000"/>
          <w:w w:val="101"/>
          <w:sz w:val="22"/>
          <w:szCs w:val="22"/>
        </w:rPr>
      </w:pPr>
      <w:r w:rsidRPr="0042057A">
        <w:rPr>
          <w:rFonts w:ascii="Georgia Pro" w:hAnsi="Georgia Pro" w:cs="Georgia Pro"/>
          <w:color w:val="000000"/>
          <w:sz w:val="18"/>
          <w:szCs w:val="18"/>
        </w:rPr>
        <w:t xml:space="preserve">As we look to the future, Benjamin Franklin’s words come to mind: “Nothing can be said to be certain, except death and taxes.” And I would humbly add, community banks’ resolve to serve their customers and communities well. </w:t>
      </w:r>
      <w:r w:rsidRPr="0042057A">
        <w:rPr>
          <w:rFonts w:ascii="Wingdings 2" w:hAnsi="Wingdings 2" w:cs="Wingdings 2"/>
          <w:color w:val="000000"/>
          <w:sz w:val="18"/>
          <w:szCs w:val="18"/>
        </w:rPr>
        <w:t>¡</w:t>
      </w:r>
    </w:p>
    <w:p w14:paraId="589FEEC4" w14:textId="77777777" w:rsidR="0042057A" w:rsidRDefault="0042057A" w:rsidP="004474B9">
      <w:pPr>
        <w:rPr>
          <w:rFonts w:cstheme="minorHAnsi"/>
          <w:color w:val="000000"/>
          <w:w w:val="101"/>
          <w:sz w:val="22"/>
          <w:szCs w:val="22"/>
        </w:rPr>
      </w:pPr>
    </w:p>
    <w:p w14:paraId="6FBCB47E" w14:textId="4C28E9D8" w:rsidR="004474B9" w:rsidRPr="004474B9" w:rsidRDefault="004474B9" w:rsidP="004474B9">
      <w:pPr>
        <w:rPr>
          <w:rFonts w:cstheme="minorHAnsi"/>
          <w:color w:val="000000"/>
          <w:w w:val="101"/>
          <w:sz w:val="22"/>
          <w:szCs w:val="22"/>
        </w:rPr>
      </w:pPr>
      <w:r w:rsidRPr="004474B9">
        <w:rPr>
          <w:rFonts w:cstheme="minorHAnsi"/>
          <w:color w:val="000000"/>
          <w:w w:val="101"/>
          <w:sz w:val="22"/>
          <w:szCs w:val="22"/>
        </w:rPr>
        <w:t>Charles Potts (</w:t>
      </w:r>
      <w:r w:rsidRPr="004474B9">
        <w:rPr>
          <w:rFonts w:cstheme="minorHAnsi"/>
          <w:i/>
          <w:iCs/>
          <w:color w:val="000000"/>
          <w:w w:val="101"/>
          <w:sz w:val="22"/>
          <w:szCs w:val="22"/>
        </w:rPr>
        <w:t>charles.potts@icba.org</w:t>
      </w:r>
      <w:r w:rsidRPr="004474B9">
        <w:rPr>
          <w:rFonts w:cstheme="minorHAnsi"/>
          <w:color w:val="000000"/>
          <w:w w:val="101"/>
          <w:sz w:val="22"/>
          <w:szCs w:val="22"/>
        </w:rPr>
        <w:t>) is ICBA senior vice president and chief innovation officer</w:t>
      </w:r>
    </w:p>
    <w:p w14:paraId="4AD7D5F9" w14:textId="4EBE59EB" w:rsidR="00E624AF" w:rsidRPr="00E624AF" w:rsidRDefault="00E624AF" w:rsidP="002A6760">
      <w:pPr>
        <w:rPr>
          <w:rFonts w:cstheme="minorHAnsi"/>
          <w:bCs/>
          <w:color w:val="000000"/>
          <w:w w:val="101"/>
          <w:sz w:val="22"/>
          <w:szCs w:val="22"/>
        </w:rPr>
      </w:pPr>
    </w:p>
    <w:sectPr w:rsidR="00E624AF" w:rsidRPr="00E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raphik Bold">
    <w:altName w:val="﷽﷽﷽﷽﷽﷽﷽﷽Bold"/>
    <w:panose1 w:val="020B0803030202060203"/>
    <w:charset w:val="00"/>
    <w:family w:val="swiss"/>
    <w:notTrueType/>
    <w:pitch w:val="variable"/>
    <w:sig w:usb0="A000002F" w:usb1="4000045A" w:usb2="00000000" w:usb3="00000000" w:csb0="00000093" w:csb1="00000000"/>
  </w:font>
  <w:font w:name="Georgia Pro">
    <w:altName w:val="﷽﷽﷽﷽﷽﷽﷽﷽Pro"/>
    <w:panose1 w:val="02040502050405020303"/>
    <w:charset w:val="00"/>
    <w:family w:val="roman"/>
    <w:notTrueType/>
    <w:pitch w:val="variable"/>
    <w:sig w:usb0="A00002EF" w:usb1="4000685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B3E8D"/>
    <w:multiLevelType w:val="hybridMultilevel"/>
    <w:tmpl w:val="45E8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063FF"/>
    <w:multiLevelType w:val="hybridMultilevel"/>
    <w:tmpl w:val="D89C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A1674"/>
    <w:multiLevelType w:val="hybridMultilevel"/>
    <w:tmpl w:val="A846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51AB5"/>
    <w:multiLevelType w:val="hybridMultilevel"/>
    <w:tmpl w:val="79B6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127BC"/>
    <w:rsid w:val="000205C0"/>
    <w:rsid w:val="00034747"/>
    <w:rsid w:val="000B2783"/>
    <w:rsid w:val="000D658E"/>
    <w:rsid w:val="000E4669"/>
    <w:rsid w:val="000E55F3"/>
    <w:rsid w:val="000F242E"/>
    <w:rsid w:val="00130660"/>
    <w:rsid w:val="00132BFF"/>
    <w:rsid w:val="00140489"/>
    <w:rsid w:val="0015379F"/>
    <w:rsid w:val="00153FAB"/>
    <w:rsid w:val="0017240B"/>
    <w:rsid w:val="001F4B49"/>
    <w:rsid w:val="001F5EFE"/>
    <w:rsid w:val="002608A7"/>
    <w:rsid w:val="002706D7"/>
    <w:rsid w:val="002716C0"/>
    <w:rsid w:val="00272545"/>
    <w:rsid w:val="002764EA"/>
    <w:rsid w:val="002823CD"/>
    <w:rsid w:val="002A6760"/>
    <w:rsid w:val="002D299E"/>
    <w:rsid w:val="002D55DF"/>
    <w:rsid w:val="002E587F"/>
    <w:rsid w:val="00300468"/>
    <w:rsid w:val="00350666"/>
    <w:rsid w:val="00353E51"/>
    <w:rsid w:val="003622B6"/>
    <w:rsid w:val="0038568A"/>
    <w:rsid w:val="003C2571"/>
    <w:rsid w:val="003D0EE6"/>
    <w:rsid w:val="003D1D8E"/>
    <w:rsid w:val="004074DC"/>
    <w:rsid w:val="0042057A"/>
    <w:rsid w:val="004455D6"/>
    <w:rsid w:val="004474B9"/>
    <w:rsid w:val="00477671"/>
    <w:rsid w:val="0048554C"/>
    <w:rsid w:val="004B4C78"/>
    <w:rsid w:val="004E165B"/>
    <w:rsid w:val="004F3978"/>
    <w:rsid w:val="00513A83"/>
    <w:rsid w:val="00535254"/>
    <w:rsid w:val="00536E0E"/>
    <w:rsid w:val="005B610A"/>
    <w:rsid w:val="005E0A07"/>
    <w:rsid w:val="006035A8"/>
    <w:rsid w:val="00651958"/>
    <w:rsid w:val="00663F6F"/>
    <w:rsid w:val="00666F7A"/>
    <w:rsid w:val="006A22D0"/>
    <w:rsid w:val="00704F41"/>
    <w:rsid w:val="0072266E"/>
    <w:rsid w:val="00744CB1"/>
    <w:rsid w:val="00753434"/>
    <w:rsid w:val="00764BC9"/>
    <w:rsid w:val="007C4FF2"/>
    <w:rsid w:val="007E1352"/>
    <w:rsid w:val="007F1B4C"/>
    <w:rsid w:val="0081697B"/>
    <w:rsid w:val="00834AF4"/>
    <w:rsid w:val="00856102"/>
    <w:rsid w:val="008575E5"/>
    <w:rsid w:val="0086020A"/>
    <w:rsid w:val="008A1D64"/>
    <w:rsid w:val="008B0ACD"/>
    <w:rsid w:val="008E53A8"/>
    <w:rsid w:val="008E7011"/>
    <w:rsid w:val="00903E5F"/>
    <w:rsid w:val="009143CC"/>
    <w:rsid w:val="00923EF3"/>
    <w:rsid w:val="009423B8"/>
    <w:rsid w:val="00970829"/>
    <w:rsid w:val="009846CB"/>
    <w:rsid w:val="009A25BD"/>
    <w:rsid w:val="009B4B9C"/>
    <w:rsid w:val="009B6048"/>
    <w:rsid w:val="009B7DEE"/>
    <w:rsid w:val="009F449A"/>
    <w:rsid w:val="00A14857"/>
    <w:rsid w:val="00A62363"/>
    <w:rsid w:val="00A71DA3"/>
    <w:rsid w:val="00AC3E4B"/>
    <w:rsid w:val="00AF116A"/>
    <w:rsid w:val="00B027CD"/>
    <w:rsid w:val="00B049CD"/>
    <w:rsid w:val="00B06BE3"/>
    <w:rsid w:val="00B45788"/>
    <w:rsid w:val="00B46D39"/>
    <w:rsid w:val="00B47217"/>
    <w:rsid w:val="00B5668F"/>
    <w:rsid w:val="00B61F26"/>
    <w:rsid w:val="00B6436E"/>
    <w:rsid w:val="00B9492C"/>
    <w:rsid w:val="00B959A6"/>
    <w:rsid w:val="00BA0ABF"/>
    <w:rsid w:val="00BC1943"/>
    <w:rsid w:val="00BD0BFB"/>
    <w:rsid w:val="00BD7ABD"/>
    <w:rsid w:val="00C2729E"/>
    <w:rsid w:val="00C53367"/>
    <w:rsid w:val="00C56D18"/>
    <w:rsid w:val="00C6147B"/>
    <w:rsid w:val="00C65EA9"/>
    <w:rsid w:val="00C848EA"/>
    <w:rsid w:val="00CB038F"/>
    <w:rsid w:val="00CE414D"/>
    <w:rsid w:val="00D24124"/>
    <w:rsid w:val="00D32813"/>
    <w:rsid w:val="00D33C30"/>
    <w:rsid w:val="00D47420"/>
    <w:rsid w:val="00D65D89"/>
    <w:rsid w:val="00D877EC"/>
    <w:rsid w:val="00DC6077"/>
    <w:rsid w:val="00DE1C41"/>
    <w:rsid w:val="00E02813"/>
    <w:rsid w:val="00E143F6"/>
    <w:rsid w:val="00E17690"/>
    <w:rsid w:val="00E207E1"/>
    <w:rsid w:val="00E308FB"/>
    <w:rsid w:val="00E431CA"/>
    <w:rsid w:val="00E50942"/>
    <w:rsid w:val="00E624AF"/>
    <w:rsid w:val="00E636DF"/>
    <w:rsid w:val="00EF76D4"/>
    <w:rsid w:val="00F257B8"/>
    <w:rsid w:val="00F33352"/>
    <w:rsid w:val="00F41F3E"/>
    <w:rsid w:val="00F448EC"/>
    <w:rsid w:val="00F455BA"/>
    <w:rsid w:val="00F63903"/>
    <w:rsid w:val="00F74743"/>
    <w:rsid w:val="00FA5679"/>
    <w:rsid w:val="00FC0F77"/>
    <w:rsid w:val="00FE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2HeadlineGraphikBold36">
    <w:name w:val="02.Headline.GraphikBold.36"/>
    <w:basedOn w:val="Normal"/>
    <w:uiPriority w:val="99"/>
    <w:rsid w:val="00B61F26"/>
    <w:pPr>
      <w:suppressAutoHyphens/>
      <w:autoSpaceDE w:val="0"/>
      <w:autoSpaceDN w:val="0"/>
      <w:adjustRightInd w:val="0"/>
      <w:spacing w:line="720" w:lineRule="atLeast"/>
      <w:textAlignment w:val="center"/>
    </w:pPr>
    <w:rPr>
      <w:rFonts w:ascii="Graphik Bold" w:hAnsi="Graphik Bold" w:cs="Graphik Bold"/>
      <w:b/>
      <w:bCs/>
      <w:color w:val="000000"/>
      <w:sz w:val="72"/>
      <w:szCs w:val="72"/>
    </w:rPr>
  </w:style>
  <w:style w:type="paragraph" w:customStyle="1" w:styleId="01BodyIndentGeorgiaJustify">
    <w:name w:val="01.Body.Indent.Georgia.Justify"/>
    <w:basedOn w:val="Normal"/>
    <w:uiPriority w:val="99"/>
    <w:rsid w:val="000E4669"/>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character" w:customStyle="1" w:styleId="01Graphikbold">
    <w:name w:val="01.Graphik.bold"/>
    <w:uiPriority w:val="99"/>
    <w:rsid w:val="000E4669"/>
    <w:rPr>
      <w:rFonts w:ascii="Graphik Bold" w:hAnsi="Graphik Bold" w:cs="Graphik Bold"/>
      <w:b/>
      <w:bCs/>
      <w:u w:val="none"/>
      <w:vertAlign w:val="baseline"/>
    </w:rPr>
  </w:style>
  <w:style w:type="paragraph" w:customStyle="1" w:styleId="01BodyNoIndentGeorgiaJustifyDrop">
    <w:name w:val="01.Body.NoIndent.Georgia.Justify Drop"/>
    <w:basedOn w:val="Normal"/>
    <w:uiPriority w:val="99"/>
    <w:rsid w:val="0042057A"/>
    <w:pPr>
      <w:autoSpaceDE w:val="0"/>
      <w:autoSpaceDN w:val="0"/>
      <w:adjustRightInd w:val="0"/>
      <w:spacing w:line="240" w:lineRule="atLeast"/>
      <w:jc w:val="both"/>
      <w:textAlignment w:val="center"/>
    </w:pPr>
    <w:rPr>
      <w:rFonts w:ascii="Georgia Pro" w:hAnsi="Georgia Pro" w:cs="Georgia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2020-12-15T20:04:00Z</dcterms:created>
  <dcterms:modified xsi:type="dcterms:W3CDTF">2020-12-15T20:05:00Z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