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F9EFD" w14:textId="77777777"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r w:rsidRPr="00E86899">
        <w:rPr>
          <w:rStyle w:val="01GraphikboldICB"/>
          <w:rFonts w:asciiTheme="minorHAnsi" w:hAnsiTheme="minorHAnsi" w:cstheme="minorHAnsi"/>
          <w:w w:val="101"/>
          <w:sz w:val="22"/>
          <w:szCs w:val="22"/>
        </w:rPr>
        <w:t>Independent Banker</w:t>
      </w:r>
    </w:p>
    <w:p w14:paraId="6BE31E48" w14:textId="127CDE4D" w:rsidR="00E17690" w:rsidRPr="00E86899" w:rsidRDefault="001E2189"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November</w:t>
      </w:r>
      <w:r w:rsidR="00EA069A">
        <w:rPr>
          <w:rStyle w:val="01GraphikboldICB"/>
          <w:rFonts w:asciiTheme="minorHAnsi" w:hAnsiTheme="minorHAnsi" w:cstheme="minorHAnsi"/>
          <w:w w:val="101"/>
          <w:sz w:val="22"/>
          <w:szCs w:val="22"/>
        </w:rPr>
        <w:t xml:space="preserve"> </w:t>
      </w:r>
      <w:r w:rsidR="00E17690" w:rsidRPr="00E86899">
        <w:rPr>
          <w:rStyle w:val="01GraphikboldICB"/>
          <w:rFonts w:asciiTheme="minorHAnsi" w:hAnsiTheme="minorHAnsi" w:cstheme="minorHAnsi"/>
          <w:w w:val="101"/>
          <w:sz w:val="22"/>
          <w:szCs w:val="22"/>
        </w:rPr>
        <w:t>2019</w:t>
      </w:r>
    </w:p>
    <w:p w14:paraId="73590021" w14:textId="570FBFA0" w:rsidR="00536E0E" w:rsidRDefault="00E17690" w:rsidP="00E17690">
      <w:pPr>
        <w:pStyle w:val="01BodyNoIndentGeorgiaJustify"/>
        <w:suppressAutoHyphens/>
        <w:rPr>
          <w:rStyle w:val="01GraphikboldICB"/>
          <w:rFonts w:asciiTheme="minorHAnsi" w:hAnsiTheme="minorHAnsi" w:cstheme="minorHAnsi"/>
          <w:w w:val="101"/>
          <w:sz w:val="22"/>
          <w:szCs w:val="22"/>
        </w:rPr>
      </w:pPr>
      <w:r w:rsidRPr="00E86899">
        <w:rPr>
          <w:rStyle w:val="01GraphikboldICB"/>
          <w:rFonts w:asciiTheme="minorHAnsi" w:hAnsiTheme="minorHAnsi" w:cstheme="minorHAnsi"/>
          <w:w w:val="101"/>
          <w:sz w:val="22"/>
          <w:szCs w:val="22"/>
        </w:rPr>
        <w:t>Flourish</w:t>
      </w:r>
      <w:r w:rsidR="00CC023E">
        <w:rPr>
          <w:rStyle w:val="01GraphikboldICB"/>
          <w:rFonts w:asciiTheme="minorHAnsi" w:hAnsiTheme="minorHAnsi" w:cstheme="minorHAnsi"/>
          <w:w w:val="101"/>
          <w:sz w:val="22"/>
          <w:szCs w:val="22"/>
        </w:rPr>
        <w:t xml:space="preserve"> by RRR</w:t>
      </w:r>
    </w:p>
    <w:p w14:paraId="55A714D2" w14:textId="515A269A" w:rsidR="001E2189" w:rsidRPr="001E2189" w:rsidRDefault="00E17690" w:rsidP="001E2189">
      <w:pPr>
        <w:pStyle w:val="05QuoteGraphikMed2024"/>
        <w:rPr>
          <w:rFonts w:cstheme="minorHAnsi"/>
          <w:bCs/>
          <w:i/>
          <w:iCs/>
          <w:w w:val="101"/>
          <w:sz w:val="22"/>
          <w:szCs w:val="22"/>
        </w:rPr>
      </w:pPr>
      <w:r w:rsidRPr="00E86899">
        <w:rPr>
          <w:rStyle w:val="01GraphikboldICB"/>
          <w:rFonts w:asciiTheme="minorHAnsi" w:hAnsiTheme="minorHAnsi" w:cstheme="minorHAnsi"/>
          <w:b w:val="0"/>
          <w:w w:val="101"/>
          <w:sz w:val="22"/>
          <w:szCs w:val="22"/>
        </w:rPr>
        <w:t>[pull quote</w:t>
      </w:r>
      <w:r w:rsidRPr="001F5EFE">
        <w:rPr>
          <w:rStyle w:val="01GraphikboldICB"/>
          <w:rFonts w:asciiTheme="minorHAnsi" w:hAnsiTheme="minorHAnsi" w:cstheme="minorHAnsi"/>
          <w:b w:val="0"/>
          <w:w w:val="101"/>
          <w:sz w:val="22"/>
          <w:szCs w:val="22"/>
        </w:rPr>
        <w:t>]</w:t>
      </w:r>
      <w:r w:rsidRPr="001F5EFE">
        <w:rPr>
          <w:rStyle w:val="01GraphikboldICB"/>
          <w:rFonts w:asciiTheme="minorHAnsi" w:hAnsiTheme="minorHAnsi" w:cstheme="minorHAnsi"/>
          <w:w w:val="101"/>
          <w:sz w:val="22"/>
          <w:szCs w:val="22"/>
        </w:rPr>
        <w:t xml:space="preserve"> </w:t>
      </w:r>
      <w:r w:rsidR="001E2189" w:rsidRPr="001E2189">
        <w:rPr>
          <w:rFonts w:cstheme="minorHAnsi"/>
          <w:bCs/>
          <w:i/>
          <w:iCs/>
          <w:w w:val="101"/>
          <w:sz w:val="22"/>
          <w:szCs w:val="22"/>
        </w:rPr>
        <w:t>“A plethora of new digital</w:t>
      </w:r>
      <w:r w:rsidR="001E2189">
        <w:rPr>
          <w:rFonts w:cstheme="minorHAnsi"/>
          <w:bCs/>
          <w:i/>
          <w:iCs/>
          <w:w w:val="101"/>
          <w:sz w:val="22"/>
          <w:szCs w:val="22"/>
        </w:rPr>
        <w:t xml:space="preserve"> </w:t>
      </w:r>
      <w:r w:rsidR="001E2189" w:rsidRPr="001E2189">
        <w:rPr>
          <w:rFonts w:cstheme="minorHAnsi"/>
          <w:bCs/>
          <w:i/>
          <w:iCs/>
          <w:w w:val="101"/>
          <w:sz w:val="22"/>
          <w:szCs w:val="22"/>
        </w:rPr>
        <w:t>payments offerings</w:t>
      </w:r>
      <w:r w:rsidR="001E2189">
        <w:rPr>
          <w:rFonts w:cstheme="minorHAnsi"/>
          <w:bCs/>
          <w:i/>
          <w:iCs/>
          <w:w w:val="101"/>
          <w:sz w:val="22"/>
          <w:szCs w:val="22"/>
        </w:rPr>
        <w:t xml:space="preserve"> </w:t>
      </w:r>
      <w:r w:rsidR="001E2189" w:rsidRPr="001E2189">
        <w:rPr>
          <w:rFonts w:cstheme="minorHAnsi"/>
          <w:bCs/>
          <w:i/>
          <w:iCs/>
          <w:w w:val="101"/>
          <w:sz w:val="22"/>
          <w:szCs w:val="22"/>
        </w:rPr>
        <w:t>now must factor into</w:t>
      </w:r>
      <w:r w:rsidR="001E2189">
        <w:rPr>
          <w:rFonts w:cstheme="minorHAnsi"/>
          <w:bCs/>
          <w:i/>
          <w:iCs/>
          <w:w w:val="101"/>
          <w:sz w:val="22"/>
          <w:szCs w:val="22"/>
        </w:rPr>
        <w:t xml:space="preserve"> </w:t>
      </w:r>
      <w:r w:rsidR="001E2189" w:rsidRPr="001E2189">
        <w:rPr>
          <w:rFonts w:cstheme="minorHAnsi"/>
          <w:bCs/>
          <w:i/>
          <w:iCs/>
          <w:w w:val="101"/>
          <w:sz w:val="22"/>
          <w:szCs w:val="22"/>
        </w:rPr>
        <w:t>business strategies.”</w:t>
      </w:r>
    </w:p>
    <w:p w14:paraId="2ABB6DE3" w14:textId="77777777"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p>
    <w:p w14:paraId="337B2034" w14:textId="4ABA552E" w:rsidR="001E2189" w:rsidRPr="001E2189" w:rsidRDefault="001E2189" w:rsidP="001E2189">
      <w:pPr>
        <w:rPr>
          <w:rFonts w:cstheme="minorHAnsi"/>
          <w:color w:val="000000"/>
          <w:w w:val="101"/>
          <w:sz w:val="22"/>
          <w:szCs w:val="22"/>
        </w:rPr>
      </w:pPr>
      <w:r>
        <w:rPr>
          <w:rFonts w:cstheme="minorHAnsi"/>
          <w:b/>
          <w:bCs/>
          <w:color w:val="000000"/>
          <w:w w:val="101"/>
          <w:sz w:val="22"/>
          <w:szCs w:val="22"/>
        </w:rPr>
        <w:t>As Winston Churchill</w:t>
      </w:r>
      <w:r w:rsidR="00371CA4">
        <w:rPr>
          <w:rFonts w:cstheme="minorHAnsi"/>
          <w:b/>
          <w:bCs/>
          <w:color w:val="000000"/>
          <w:w w:val="101"/>
          <w:sz w:val="22"/>
          <w:szCs w:val="22"/>
        </w:rPr>
        <w:t xml:space="preserve"> said,</w:t>
      </w:r>
      <w:bookmarkStart w:id="0" w:name="_GoBack"/>
      <w:bookmarkEnd w:id="0"/>
      <w:r w:rsidR="00EA069A" w:rsidRPr="00EA069A">
        <w:rPr>
          <w:rFonts w:cstheme="minorHAnsi"/>
          <w:b/>
          <w:bCs/>
          <w:color w:val="000000"/>
          <w:w w:val="101"/>
          <w:sz w:val="22"/>
          <w:szCs w:val="22"/>
        </w:rPr>
        <w:t xml:space="preserve"> </w:t>
      </w:r>
      <w:r w:rsidRPr="001E2189">
        <w:rPr>
          <w:rFonts w:cstheme="minorHAnsi"/>
          <w:color w:val="000000"/>
          <w:w w:val="101"/>
          <w:sz w:val="22"/>
          <w:szCs w:val="22"/>
        </w:rPr>
        <w:t xml:space="preserve">“To improve is to change; to be perfect is to change often.” That sentiment rings true for digital payments. </w:t>
      </w:r>
    </w:p>
    <w:p w14:paraId="158F3346" w14:textId="77777777" w:rsidR="001E2189" w:rsidRPr="001E2189" w:rsidRDefault="001E2189" w:rsidP="001E2189">
      <w:pPr>
        <w:rPr>
          <w:rFonts w:cstheme="minorHAnsi"/>
          <w:color w:val="000000"/>
          <w:w w:val="101"/>
          <w:sz w:val="22"/>
          <w:szCs w:val="22"/>
        </w:rPr>
      </w:pPr>
      <w:r w:rsidRPr="001E2189">
        <w:rPr>
          <w:rFonts w:cstheme="minorHAnsi"/>
          <w:color w:val="000000"/>
          <w:w w:val="101"/>
          <w:sz w:val="22"/>
          <w:szCs w:val="22"/>
        </w:rPr>
        <w:t xml:space="preserve">Today, community bankers hold a place at the digital payments table, both as drivers of change and as witnesses to the flurry of activity. From the forthcoming </w:t>
      </w:r>
      <w:proofErr w:type="spellStart"/>
      <w:r w:rsidRPr="001E2189">
        <w:rPr>
          <w:rFonts w:cstheme="minorHAnsi"/>
          <w:color w:val="000000"/>
          <w:w w:val="101"/>
          <w:sz w:val="22"/>
          <w:szCs w:val="22"/>
        </w:rPr>
        <w:t>FedNow</w:t>
      </w:r>
      <w:proofErr w:type="spellEnd"/>
      <w:r w:rsidRPr="001E2189">
        <w:rPr>
          <w:rFonts w:cstheme="minorHAnsi"/>
          <w:color w:val="000000"/>
          <w:w w:val="101"/>
          <w:sz w:val="22"/>
          <w:szCs w:val="22"/>
        </w:rPr>
        <w:t xml:space="preserve"> real-time payments service to card innovations and P2P opportunities, a plethora of new digital payments offerings now must factor into business strategies. </w:t>
      </w:r>
    </w:p>
    <w:p w14:paraId="31AEC9BD" w14:textId="77777777" w:rsidR="001E2189" w:rsidRPr="001E2189" w:rsidRDefault="001E2189" w:rsidP="001E2189">
      <w:pPr>
        <w:rPr>
          <w:rFonts w:cstheme="minorHAnsi"/>
          <w:color w:val="000000"/>
          <w:w w:val="101"/>
          <w:sz w:val="22"/>
          <w:szCs w:val="22"/>
        </w:rPr>
      </w:pPr>
      <w:r w:rsidRPr="001E2189">
        <w:rPr>
          <w:rFonts w:cstheme="minorHAnsi"/>
          <w:color w:val="000000"/>
          <w:w w:val="101"/>
          <w:sz w:val="22"/>
          <w:szCs w:val="22"/>
        </w:rPr>
        <w:t xml:space="preserve">Evolving customer expectations reinforce the need for change. For example, according to Engagement Labs, Gen Z will account for 40% of all shoppers by next year—and this group pays with a digital-first mindset. In fact, research from </w:t>
      </w:r>
      <w:proofErr w:type="spellStart"/>
      <w:r w:rsidRPr="001E2189">
        <w:rPr>
          <w:rFonts w:cstheme="minorHAnsi"/>
          <w:color w:val="000000"/>
          <w:w w:val="101"/>
          <w:sz w:val="22"/>
          <w:szCs w:val="22"/>
        </w:rPr>
        <w:t>Paysafe</w:t>
      </w:r>
      <w:proofErr w:type="spellEnd"/>
      <w:r w:rsidRPr="001E2189">
        <w:rPr>
          <w:rFonts w:cstheme="minorHAnsi"/>
          <w:color w:val="000000"/>
          <w:w w:val="101"/>
          <w:sz w:val="22"/>
          <w:szCs w:val="22"/>
        </w:rPr>
        <w:t xml:space="preserve"> reveals that 70% of Gen </w:t>
      </w:r>
      <w:proofErr w:type="spellStart"/>
      <w:r w:rsidRPr="001E2189">
        <w:rPr>
          <w:rFonts w:cstheme="minorHAnsi"/>
          <w:color w:val="000000"/>
          <w:w w:val="101"/>
          <w:sz w:val="22"/>
          <w:szCs w:val="22"/>
        </w:rPr>
        <w:t>Zers</w:t>
      </w:r>
      <w:proofErr w:type="spellEnd"/>
      <w:r w:rsidRPr="001E2189">
        <w:rPr>
          <w:rFonts w:cstheme="minorHAnsi"/>
          <w:color w:val="000000"/>
          <w:w w:val="101"/>
          <w:sz w:val="22"/>
          <w:szCs w:val="22"/>
        </w:rPr>
        <w:t xml:space="preserve"> use banking apps daily and 53% prefer to shop in stores that accept contactless payments. And Accenture found that 68% want instant P2P payments. Clearly, this is a generation of customers who expect digital payments solutions.  </w:t>
      </w:r>
    </w:p>
    <w:p w14:paraId="197E322D" w14:textId="77777777" w:rsidR="001E2189" w:rsidRPr="001E2189" w:rsidRDefault="001E2189" w:rsidP="001E2189">
      <w:pPr>
        <w:rPr>
          <w:rFonts w:cstheme="minorHAnsi"/>
          <w:color w:val="000000"/>
          <w:w w:val="101"/>
          <w:sz w:val="22"/>
          <w:szCs w:val="22"/>
        </w:rPr>
      </w:pPr>
      <w:r w:rsidRPr="001E2189">
        <w:rPr>
          <w:rFonts w:cstheme="minorHAnsi"/>
          <w:color w:val="000000"/>
          <w:w w:val="101"/>
          <w:sz w:val="22"/>
          <w:szCs w:val="22"/>
        </w:rPr>
        <w:t xml:space="preserve">With these elements in the mix, it may feel like planning your bank’s digital payments future is like trying to hit a moving target. That’s why ICBA and its payments services subsidiary, ICBA </w:t>
      </w:r>
      <w:proofErr w:type="spellStart"/>
      <w:r w:rsidRPr="001E2189">
        <w:rPr>
          <w:rFonts w:cstheme="minorHAnsi"/>
          <w:color w:val="000000"/>
          <w:w w:val="101"/>
          <w:sz w:val="22"/>
          <w:szCs w:val="22"/>
        </w:rPr>
        <w:t>Bancard</w:t>
      </w:r>
      <w:proofErr w:type="spellEnd"/>
      <w:r w:rsidRPr="001E2189">
        <w:rPr>
          <w:rFonts w:cstheme="minorHAnsi"/>
          <w:color w:val="000000"/>
          <w:w w:val="101"/>
          <w:sz w:val="22"/>
          <w:szCs w:val="22"/>
        </w:rPr>
        <w:t xml:space="preserve">, have created two offerings to support community banks. </w:t>
      </w:r>
    </w:p>
    <w:p w14:paraId="1957AC03" w14:textId="77777777" w:rsidR="001E2189" w:rsidRPr="001E2189" w:rsidRDefault="001E2189" w:rsidP="001E2189">
      <w:pPr>
        <w:rPr>
          <w:rFonts w:cstheme="minorHAnsi"/>
          <w:color w:val="000000"/>
          <w:w w:val="101"/>
          <w:sz w:val="22"/>
          <w:szCs w:val="22"/>
        </w:rPr>
      </w:pPr>
      <w:r w:rsidRPr="001E2189">
        <w:rPr>
          <w:rFonts w:cstheme="minorHAnsi"/>
          <w:color w:val="000000"/>
          <w:w w:val="101"/>
          <w:sz w:val="22"/>
          <w:szCs w:val="22"/>
        </w:rPr>
        <w:t xml:space="preserve">First, we have created the ICBA </w:t>
      </w:r>
      <w:proofErr w:type="spellStart"/>
      <w:r w:rsidRPr="001E2189">
        <w:rPr>
          <w:rFonts w:cstheme="minorHAnsi"/>
          <w:color w:val="000000"/>
          <w:w w:val="101"/>
          <w:sz w:val="22"/>
          <w:szCs w:val="22"/>
        </w:rPr>
        <w:t>Bancard</w:t>
      </w:r>
      <w:proofErr w:type="spellEnd"/>
      <w:r w:rsidRPr="001E2189">
        <w:rPr>
          <w:rFonts w:cstheme="minorHAnsi"/>
          <w:color w:val="000000"/>
          <w:w w:val="101"/>
          <w:sz w:val="22"/>
          <w:szCs w:val="22"/>
        </w:rPr>
        <w:t xml:space="preserve"> Digital Payments Strategy Tool and Guide, an interactive resource that helps community bankers create a custom digital payments strategy. This tool has been available to ICBA </w:t>
      </w:r>
      <w:proofErr w:type="spellStart"/>
      <w:r w:rsidRPr="001E2189">
        <w:rPr>
          <w:rFonts w:cstheme="minorHAnsi"/>
          <w:color w:val="000000"/>
          <w:w w:val="101"/>
          <w:sz w:val="22"/>
          <w:szCs w:val="22"/>
        </w:rPr>
        <w:t>Bancard</w:t>
      </w:r>
      <w:proofErr w:type="spellEnd"/>
      <w:r w:rsidRPr="001E2189">
        <w:rPr>
          <w:rFonts w:cstheme="minorHAnsi"/>
          <w:color w:val="000000"/>
          <w:w w:val="101"/>
          <w:sz w:val="22"/>
          <w:szCs w:val="22"/>
        </w:rPr>
        <w:t xml:space="preserve"> clients since September, and starting this month, it will be accessible to all ICBA members. I hope you’ll experiment with the tool—you can find it at </w:t>
      </w:r>
      <w:r w:rsidRPr="001E2189">
        <w:rPr>
          <w:rFonts w:cstheme="minorHAnsi"/>
          <w:i/>
          <w:iCs/>
          <w:color w:val="000000"/>
          <w:w w:val="101"/>
          <w:sz w:val="22"/>
          <w:szCs w:val="22"/>
        </w:rPr>
        <w:t>strategy.icbabancard.com</w:t>
      </w:r>
      <w:r w:rsidRPr="001E2189">
        <w:rPr>
          <w:rFonts w:cstheme="minorHAnsi"/>
          <w:color w:val="000000"/>
          <w:w w:val="101"/>
          <w:sz w:val="22"/>
          <w:szCs w:val="22"/>
        </w:rPr>
        <w:t xml:space="preserve">—to explore where you fall on your digital payments journey. It will help provide guideposts as you chart the course ahead.  </w:t>
      </w:r>
    </w:p>
    <w:p w14:paraId="536EA364" w14:textId="77777777" w:rsidR="001E2189" w:rsidRPr="001E2189" w:rsidRDefault="001E2189" w:rsidP="001E2189">
      <w:pPr>
        <w:rPr>
          <w:rFonts w:cstheme="minorHAnsi"/>
          <w:color w:val="000000"/>
          <w:w w:val="101"/>
          <w:sz w:val="22"/>
          <w:szCs w:val="22"/>
        </w:rPr>
      </w:pPr>
      <w:r w:rsidRPr="001E2189">
        <w:rPr>
          <w:rFonts w:cstheme="minorHAnsi"/>
          <w:color w:val="000000"/>
          <w:w w:val="101"/>
          <w:sz w:val="22"/>
          <w:szCs w:val="22"/>
        </w:rPr>
        <w:t xml:space="preserve">We also launched the Payments Executive Brief Series, topical summaries designed to support community bankers as they build and grow a digital payments strategy. These informative briefs are being shared on ICBA’s Main Street Matters blog and in NewsWatch Today. They offer insights into payments industry changes and how they apply to community banks. </w:t>
      </w:r>
    </w:p>
    <w:p w14:paraId="7645B804" w14:textId="567F04ED" w:rsidR="00EA069A" w:rsidRDefault="001E2189" w:rsidP="001E2189">
      <w:pPr>
        <w:rPr>
          <w:rFonts w:cstheme="minorHAnsi"/>
          <w:b/>
          <w:sz w:val="22"/>
          <w:szCs w:val="22"/>
        </w:rPr>
      </w:pPr>
      <w:r w:rsidRPr="001E2189">
        <w:rPr>
          <w:rFonts w:cstheme="minorHAnsi"/>
          <w:color w:val="000000"/>
          <w:w w:val="101"/>
          <w:sz w:val="22"/>
          <w:szCs w:val="22"/>
        </w:rPr>
        <w:t xml:space="preserve">These resources, along with this issue of </w:t>
      </w:r>
      <w:r w:rsidRPr="001E2189">
        <w:rPr>
          <w:rFonts w:cstheme="minorHAnsi"/>
          <w:i/>
          <w:iCs/>
          <w:color w:val="000000"/>
          <w:w w:val="101"/>
          <w:sz w:val="22"/>
          <w:szCs w:val="22"/>
        </w:rPr>
        <w:t>Independent Banker</w:t>
      </w:r>
      <w:r w:rsidRPr="001E2189">
        <w:rPr>
          <w:rFonts w:cstheme="minorHAnsi"/>
          <w:color w:val="000000"/>
          <w:w w:val="101"/>
          <w:sz w:val="22"/>
          <w:szCs w:val="22"/>
        </w:rPr>
        <w:t>, address the topics at hand, but as we consider the transformation in digital payments, we also must embrace the opportunity that presents itself. In the spirit of Churchill, community banks will continue to improve through this change, ensuring they offer the perfect digital solutions for their customers.</w:t>
      </w:r>
    </w:p>
    <w:p w14:paraId="6BB62AA4" w14:textId="77777777" w:rsidR="001E2189" w:rsidRPr="001E2189" w:rsidRDefault="00E17690" w:rsidP="001E2189">
      <w:pPr>
        <w:rPr>
          <w:b/>
          <w:bCs/>
          <w:sz w:val="22"/>
          <w:szCs w:val="22"/>
        </w:rPr>
      </w:pPr>
      <w:r w:rsidRPr="00306B2E">
        <w:rPr>
          <w:rFonts w:cstheme="minorHAnsi"/>
          <w:b/>
          <w:sz w:val="22"/>
          <w:szCs w:val="22"/>
        </w:rPr>
        <w:t>Where I’ll Be This Month</w:t>
      </w:r>
      <w:r w:rsidRPr="00306B2E">
        <w:rPr>
          <w:rFonts w:cstheme="minorHAnsi"/>
          <w:bCs/>
          <w:sz w:val="22"/>
          <w:szCs w:val="22"/>
        </w:rPr>
        <w:t xml:space="preserve"> </w:t>
      </w:r>
      <w:r w:rsidR="00D47420" w:rsidRPr="00306B2E">
        <w:rPr>
          <w:rFonts w:cstheme="minorHAnsi"/>
          <w:bCs/>
          <w:sz w:val="22"/>
          <w:szCs w:val="22"/>
        </w:rPr>
        <w:br/>
      </w:r>
      <w:r w:rsidR="001E2189" w:rsidRPr="001E2189">
        <w:rPr>
          <w:sz w:val="22"/>
          <w:szCs w:val="22"/>
        </w:rPr>
        <w:t xml:space="preserve">I’ll be visiting with TCM Bank, an ICBA </w:t>
      </w:r>
      <w:proofErr w:type="spellStart"/>
      <w:r w:rsidR="001E2189" w:rsidRPr="001E2189">
        <w:rPr>
          <w:sz w:val="22"/>
          <w:szCs w:val="22"/>
        </w:rPr>
        <w:t>Bancard</w:t>
      </w:r>
      <w:proofErr w:type="spellEnd"/>
      <w:r w:rsidR="001E2189" w:rsidRPr="001E2189">
        <w:rPr>
          <w:sz w:val="22"/>
          <w:szCs w:val="22"/>
        </w:rPr>
        <w:t xml:space="preserve"> subsidiary, in Tampa, Fla., where we’re certain to discuss digital payments.</w:t>
      </w:r>
      <w:r w:rsidR="001E2189" w:rsidRPr="001E2189">
        <w:rPr>
          <w:b/>
          <w:bCs/>
          <w:sz w:val="22"/>
          <w:szCs w:val="22"/>
        </w:rPr>
        <w:t xml:space="preserve"> </w:t>
      </w:r>
    </w:p>
    <w:p w14:paraId="7E941459" w14:textId="468ED721" w:rsidR="00EA069A" w:rsidRPr="00EA069A" w:rsidRDefault="00EA069A" w:rsidP="00EA069A">
      <w:pPr>
        <w:rPr>
          <w:b/>
          <w:bCs/>
          <w:sz w:val="22"/>
          <w:szCs w:val="22"/>
        </w:rPr>
      </w:pPr>
    </w:p>
    <w:p w14:paraId="2F356D73" w14:textId="3839057B" w:rsidR="00541C1C" w:rsidRPr="00541C1C" w:rsidRDefault="00541C1C" w:rsidP="00541C1C">
      <w:pPr>
        <w:rPr>
          <w:sz w:val="22"/>
          <w:szCs w:val="22"/>
        </w:rPr>
      </w:pPr>
    </w:p>
    <w:p w14:paraId="7BFECCE8" w14:textId="04FE6A01" w:rsidR="00891DDA" w:rsidRPr="00891DDA" w:rsidRDefault="00891DDA" w:rsidP="00891DDA">
      <w:pPr>
        <w:rPr>
          <w:b/>
          <w:bCs/>
          <w:sz w:val="22"/>
          <w:szCs w:val="22"/>
        </w:rPr>
      </w:pPr>
    </w:p>
    <w:p w14:paraId="0F161B81" w14:textId="77777777" w:rsidR="00306B2E" w:rsidRPr="00306B2E" w:rsidRDefault="00306B2E" w:rsidP="00306B2E">
      <w:pPr>
        <w:rPr>
          <w:b/>
          <w:bCs/>
          <w:sz w:val="22"/>
          <w:szCs w:val="22"/>
        </w:rPr>
      </w:pPr>
      <w:r w:rsidRPr="00306B2E">
        <w:rPr>
          <w:b/>
          <w:bCs/>
          <w:sz w:val="22"/>
          <w:szCs w:val="22"/>
        </w:rPr>
        <w:t>Connect with Rebeca @</w:t>
      </w:r>
      <w:proofErr w:type="spellStart"/>
      <w:r w:rsidRPr="00306B2E">
        <w:rPr>
          <w:b/>
          <w:bCs/>
          <w:sz w:val="22"/>
          <w:szCs w:val="22"/>
        </w:rPr>
        <w:t>romerorainey</w:t>
      </w:r>
      <w:proofErr w:type="spellEnd"/>
    </w:p>
    <w:p w14:paraId="56EEDCF9" w14:textId="3E37C148" w:rsidR="00C007C4" w:rsidRPr="00C007C4" w:rsidRDefault="00C007C4" w:rsidP="00C007C4">
      <w:pPr>
        <w:rPr>
          <w:b/>
          <w:bCs/>
          <w:sz w:val="22"/>
          <w:szCs w:val="22"/>
        </w:rPr>
      </w:pPr>
    </w:p>
    <w:p w14:paraId="36240C7E" w14:textId="62A82D8D" w:rsidR="00FE1D51" w:rsidRPr="00D47420" w:rsidRDefault="00371CA4">
      <w:pPr>
        <w:rPr>
          <w:rFonts w:cstheme="minorHAnsi"/>
          <w:b/>
          <w:sz w:val="22"/>
          <w:szCs w:val="22"/>
        </w:rPr>
      </w:pPr>
    </w:p>
    <w:sectPr w:rsidR="00FE1D51" w:rsidRPr="00D47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Pro-Regular">
    <w:altName w:val="Calibri"/>
    <w:panose1 w:val="02040502050405020303"/>
    <w:charset w:val="00"/>
    <w:family w:val="roman"/>
    <w:notTrueType/>
    <w:pitch w:val="variable"/>
    <w:sig w:usb0="A00002EF" w:usb1="4000685B" w:usb2="00000000" w:usb3="00000000" w:csb0="0000009F" w:csb1="00000000"/>
  </w:font>
  <w:font w:name="Graphik-Bold">
    <w:altName w:val="Calibri"/>
    <w:panose1 w:val="020B0803030202060203"/>
    <w:charset w:val="00"/>
    <w:family w:val="swiss"/>
    <w:notTrueType/>
    <w:pitch w:val="variable"/>
    <w:sig w:usb0="A000002F" w:usb1="4000045A" w:usb2="00000000" w:usb3="00000000" w:csb0="00000093" w:csb1="00000000"/>
  </w:font>
  <w:font w:name="Graphik-Medium">
    <w:altName w:val="Calibri"/>
    <w:panose1 w:val="020B0603030202060203"/>
    <w:charset w:val="00"/>
    <w:family w:val="swiss"/>
    <w:notTrueType/>
    <w:pitch w:val="variable"/>
    <w:sig w:usb0="A000002F" w:usb1="4000045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90"/>
    <w:rsid w:val="00004C71"/>
    <w:rsid w:val="000205C0"/>
    <w:rsid w:val="00034747"/>
    <w:rsid w:val="00083F4D"/>
    <w:rsid w:val="000D658E"/>
    <w:rsid w:val="000F242E"/>
    <w:rsid w:val="00130660"/>
    <w:rsid w:val="00132BFF"/>
    <w:rsid w:val="00140489"/>
    <w:rsid w:val="0015379F"/>
    <w:rsid w:val="00153FAB"/>
    <w:rsid w:val="0017240B"/>
    <w:rsid w:val="001E2189"/>
    <w:rsid w:val="001F5EFE"/>
    <w:rsid w:val="002608A7"/>
    <w:rsid w:val="002706D7"/>
    <w:rsid w:val="002716C0"/>
    <w:rsid w:val="002823CD"/>
    <w:rsid w:val="002D55DF"/>
    <w:rsid w:val="002E587F"/>
    <w:rsid w:val="00300468"/>
    <w:rsid w:val="00306B2E"/>
    <w:rsid w:val="00353E51"/>
    <w:rsid w:val="003622B6"/>
    <w:rsid w:val="00371CA4"/>
    <w:rsid w:val="0038568A"/>
    <w:rsid w:val="003B3CC4"/>
    <w:rsid w:val="003C2571"/>
    <w:rsid w:val="003D0EE6"/>
    <w:rsid w:val="004074DC"/>
    <w:rsid w:val="0047507B"/>
    <w:rsid w:val="00477671"/>
    <w:rsid w:val="004E165B"/>
    <w:rsid w:val="004F3978"/>
    <w:rsid w:val="00535254"/>
    <w:rsid w:val="00536E0E"/>
    <w:rsid w:val="00541C1C"/>
    <w:rsid w:val="00541E60"/>
    <w:rsid w:val="005B610A"/>
    <w:rsid w:val="006035A8"/>
    <w:rsid w:val="00651958"/>
    <w:rsid w:val="00663F6F"/>
    <w:rsid w:val="00666F7A"/>
    <w:rsid w:val="006A22D0"/>
    <w:rsid w:val="00704F41"/>
    <w:rsid w:val="0072266E"/>
    <w:rsid w:val="00744CB1"/>
    <w:rsid w:val="00753434"/>
    <w:rsid w:val="00764BC9"/>
    <w:rsid w:val="007902CB"/>
    <w:rsid w:val="007C4FF2"/>
    <w:rsid w:val="007E1529"/>
    <w:rsid w:val="007F1B4C"/>
    <w:rsid w:val="00815262"/>
    <w:rsid w:val="0081697B"/>
    <w:rsid w:val="00834AF4"/>
    <w:rsid w:val="00840DA4"/>
    <w:rsid w:val="00856102"/>
    <w:rsid w:val="008575E5"/>
    <w:rsid w:val="0086020A"/>
    <w:rsid w:val="00891DDA"/>
    <w:rsid w:val="008B0ACD"/>
    <w:rsid w:val="008E7011"/>
    <w:rsid w:val="00903E5F"/>
    <w:rsid w:val="00923EF3"/>
    <w:rsid w:val="009423B8"/>
    <w:rsid w:val="00970829"/>
    <w:rsid w:val="009846CB"/>
    <w:rsid w:val="009B4B9C"/>
    <w:rsid w:val="009B6048"/>
    <w:rsid w:val="009D41C8"/>
    <w:rsid w:val="00A14857"/>
    <w:rsid w:val="00A71DA3"/>
    <w:rsid w:val="00AC3E4B"/>
    <w:rsid w:val="00AF116A"/>
    <w:rsid w:val="00B027CD"/>
    <w:rsid w:val="00B049CD"/>
    <w:rsid w:val="00B06BE3"/>
    <w:rsid w:val="00B45788"/>
    <w:rsid w:val="00B5668F"/>
    <w:rsid w:val="00B60AF6"/>
    <w:rsid w:val="00B6436E"/>
    <w:rsid w:val="00B959A6"/>
    <w:rsid w:val="00BA0ABF"/>
    <w:rsid w:val="00BD0BFB"/>
    <w:rsid w:val="00BD7ABD"/>
    <w:rsid w:val="00C007C4"/>
    <w:rsid w:val="00C2729E"/>
    <w:rsid w:val="00C53367"/>
    <w:rsid w:val="00C65EA9"/>
    <w:rsid w:val="00C848EA"/>
    <w:rsid w:val="00C97BED"/>
    <w:rsid w:val="00CB038F"/>
    <w:rsid w:val="00CC023E"/>
    <w:rsid w:val="00CE414D"/>
    <w:rsid w:val="00D14380"/>
    <w:rsid w:val="00D24124"/>
    <w:rsid w:val="00D32813"/>
    <w:rsid w:val="00D47420"/>
    <w:rsid w:val="00D65D89"/>
    <w:rsid w:val="00D877EC"/>
    <w:rsid w:val="00DD2A8F"/>
    <w:rsid w:val="00DE1C41"/>
    <w:rsid w:val="00E02813"/>
    <w:rsid w:val="00E143F6"/>
    <w:rsid w:val="00E17690"/>
    <w:rsid w:val="00E431CA"/>
    <w:rsid w:val="00E56BD4"/>
    <w:rsid w:val="00E636DF"/>
    <w:rsid w:val="00EA069A"/>
    <w:rsid w:val="00F257B8"/>
    <w:rsid w:val="00F41F3E"/>
    <w:rsid w:val="00F448EC"/>
    <w:rsid w:val="00F63903"/>
    <w:rsid w:val="00F7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E13B"/>
  <w15:chartTrackingRefBased/>
  <w15:docId w15:val="{63EF0FE3-E83C-4498-A200-DDB99CAF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69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NoIndentGeorgiaJustify">
    <w:name w:val="01.Body.NoIndent.Georgia.Justify"/>
    <w:basedOn w:val="Normal"/>
    <w:uiPriority w:val="99"/>
    <w:rsid w:val="00E17690"/>
    <w:pPr>
      <w:autoSpaceDE w:val="0"/>
      <w:autoSpaceDN w:val="0"/>
      <w:adjustRightInd w:val="0"/>
      <w:spacing w:line="240" w:lineRule="atLeast"/>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E17690"/>
    <w:rPr>
      <w:rFonts w:ascii="Graphik-Bold" w:hAnsi="Graphik-Bold" w:cs="Graphik-Bold"/>
      <w:b/>
      <w:bCs/>
      <w:u w:val="none"/>
      <w:vertAlign w:val="baseline"/>
    </w:rPr>
  </w:style>
  <w:style w:type="paragraph" w:customStyle="1" w:styleId="05QuoteGraphikMed2024">
    <w:name w:val="05.Quote.Graphik.Med.20/24"/>
    <w:basedOn w:val="Normal"/>
    <w:uiPriority w:val="99"/>
    <w:rsid w:val="00E17690"/>
    <w:pPr>
      <w:suppressAutoHyphens/>
      <w:autoSpaceDE w:val="0"/>
      <w:autoSpaceDN w:val="0"/>
      <w:adjustRightInd w:val="0"/>
      <w:spacing w:line="480" w:lineRule="atLeast"/>
      <w:textAlignment w:val="center"/>
    </w:pPr>
    <w:rPr>
      <w:rFonts w:ascii="Graphik-Medium" w:hAnsi="Graphik-Medium" w:cs="Graphik-Medium"/>
      <w:color w:val="000000"/>
      <w:sz w:val="40"/>
      <w:szCs w:val="40"/>
      <w:u w:val="thick" w:color="002DD6"/>
    </w:rPr>
  </w:style>
  <w:style w:type="paragraph" w:styleId="BalloonText">
    <w:name w:val="Balloon Text"/>
    <w:basedOn w:val="Normal"/>
    <w:link w:val="BalloonTextChar"/>
    <w:uiPriority w:val="99"/>
    <w:semiHidden/>
    <w:unhideWhenUsed/>
    <w:rsid w:val="00903E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E5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4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8" ma:contentTypeDescription="Create a new document." ma:contentTypeScope="" ma:versionID="59be5c7fcfb616211285739f703fb3a4">
  <xsd:schema xmlns:xsd="http://www.w3.org/2001/XMLSchema" xmlns:xs="http://www.w3.org/2001/XMLSchema" xmlns:p="http://schemas.microsoft.com/office/2006/metadata/properties" xmlns:ns2="f3052132-7631-4bf8-9303-fc804c90d88f" xmlns:ns3="0c2bd550-716e-42bf-a496-06b194d1b80a" targetNamespace="http://schemas.microsoft.com/office/2006/metadata/properties" ma:root="true" ma:fieldsID="946aafcda72d4d50fa7e33e27ee3006a" ns2:_="" ns3:_="">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75D71-65F2-48D1-830F-CD7495EC6638}">
  <ds:schemaRefs>
    <ds:schemaRef ds:uri="http://schemas.microsoft.com/sharepoint/v3/contenttype/forms"/>
  </ds:schemaRefs>
</ds:datastoreItem>
</file>

<file path=customXml/itemProps2.xml><?xml version="1.0" encoding="utf-8"?>
<ds:datastoreItem xmlns:ds="http://schemas.openxmlformats.org/officeDocument/2006/customXml" ds:itemID="{77BD8FC3-B78A-4978-8726-4FB580FDAA52}">
  <ds:schemaRef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0c2bd550-716e-42bf-a496-06b194d1b80a"/>
    <ds:schemaRef ds:uri="http://purl.org/dc/terms/"/>
    <ds:schemaRef ds:uri="http://schemas.openxmlformats.org/package/2006/metadata/core-properties"/>
    <ds:schemaRef ds:uri="f3052132-7631-4bf8-9303-fc804c90d88f"/>
  </ds:schemaRefs>
</ds:datastoreItem>
</file>

<file path=customXml/itemProps3.xml><?xml version="1.0" encoding="utf-8"?>
<ds:datastoreItem xmlns:ds="http://schemas.openxmlformats.org/officeDocument/2006/customXml" ds:itemID="{3C90C3C1-4117-4B70-AE87-FA84BA6A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Aleis Stokes</dc:creator>
  <cp:keywords/>
  <dc:description/>
  <cp:lastModifiedBy>Rebecca Lubecki</cp:lastModifiedBy>
  <cp:revision>4</cp:revision>
  <dcterms:created xsi:type="dcterms:W3CDTF">2019-10-22T16:08:00Z</dcterms:created>
  <dcterms:modified xsi:type="dcterms:W3CDTF">2019-10-22T16:11:00Z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ies>
</file>