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FD4" w:rsidRPr="00440FD4" w:rsidRDefault="00440FD4" w:rsidP="00440FD4">
      <w:pPr>
        <w:spacing w:after="120" w:line="240" w:lineRule="auto"/>
        <w:outlineLvl w:val="1"/>
        <w:rPr>
          <w:rFonts w:ascii="Futura LT W01 Medium Condensed" w:eastAsia="Times New Roman" w:hAnsi="Futura LT W01 Medium Condensed" w:cs="Times New Roman"/>
          <w:color w:val="375090"/>
          <w:sz w:val="48"/>
          <w:szCs w:val="48"/>
        </w:rPr>
      </w:pPr>
      <w:r w:rsidRPr="00440FD4">
        <w:rPr>
          <w:rFonts w:ascii="Futura LT W01 Medium Condensed" w:eastAsia="Times New Roman" w:hAnsi="Futura LT W01 Medium Condensed" w:cs="Times New Roman"/>
          <w:color w:val="375090"/>
          <w:sz w:val="48"/>
          <w:szCs w:val="48"/>
        </w:rPr>
        <w:t xml:space="preserve">Are You </w:t>
      </w:r>
      <w:proofErr w:type="gramStart"/>
      <w:r w:rsidRPr="00440FD4">
        <w:rPr>
          <w:rFonts w:ascii="Futura LT W01 Medium Condensed" w:eastAsia="Times New Roman" w:hAnsi="Futura LT W01 Medium Condensed" w:cs="Times New Roman"/>
          <w:color w:val="375090"/>
          <w:sz w:val="48"/>
          <w:szCs w:val="48"/>
        </w:rPr>
        <w:t>A</w:t>
      </w:r>
      <w:proofErr w:type="gramEnd"/>
      <w:r w:rsidRPr="00440FD4">
        <w:rPr>
          <w:rFonts w:ascii="Futura LT W01 Medium Condensed" w:eastAsia="Times New Roman" w:hAnsi="Futura LT W01 Medium Condensed" w:cs="Times New Roman"/>
          <w:color w:val="375090"/>
          <w:sz w:val="48"/>
          <w:szCs w:val="48"/>
        </w:rPr>
        <w:t xml:space="preserve"> Goal Digger? Six Professional Development Ideas for Payments Leaders </w:t>
      </w:r>
    </w:p>
    <w:p w:rsidR="00440FD4" w:rsidRPr="00440FD4" w:rsidRDefault="00440FD4" w:rsidP="00440FD4">
      <w:pPr>
        <w:spacing w:after="0" w:line="240" w:lineRule="auto"/>
        <w:rPr>
          <w:rFonts w:ascii="Futura LT W01 Book" w:eastAsia="Times New Roman" w:hAnsi="Futura LT W01 Book" w:cs="Times New Roman"/>
          <w:sz w:val="21"/>
          <w:szCs w:val="21"/>
        </w:rPr>
      </w:pPr>
      <w:r w:rsidRPr="00440FD4">
        <w:rPr>
          <w:rFonts w:ascii="Futura LT W01 Book" w:eastAsia="Times New Roman" w:hAnsi="Futura LT W01 Book" w:cs="Times New Roman"/>
          <w:sz w:val="21"/>
          <w:szCs w:val="21"/>
        </w:rPr>
        <w:t xml:space="preserve">Dec 05, 2017 </w:t>
      </w:r>
    </w:p>
    <w:p w:rsidR="00440FD4" w:rsidRPr="00440FD4" w:rsidRDefault="00440FD4" w:rsidP="00440FD4">
      <w:pPr>
        <w:spacing w:after="300" w:line="240" w:lineRule="auto"/>
        <w:rPr>
          <w:rFonts w:ascii="Futura LT W01 Book" w:eastAsia="Times New Roman" w:hAnsi="Futura LT W01 Book" w:cs="Times New Roman"/>
          <w:sz w:val="21"/>
          <w:szCs w:val="21"/>
        </w:rPr>
      </w:pPr>
      <w:r w:rsidRPr="00440FD4">
        <w:rPr>
          <w:rFonts w:ascii="Futura LT W01 Book" w:eastAsia="Times New Roman" w:hAnsi="Futura LT W01 Book" w:cs="Times New Roman"/>
          <w:sz w:val="21"/>
          <w:szCs w:val="21"/>
        </w:rPr>
        <w:t>When I gaze back on my career, I see peaks and the valleys; the times where I knew where I was headed and the times where I felt I was driving at night without headlights. In my role as a community banker</w:t>
      </w:r>
      <w:proofErr w:type="gramStart"/>
      <w:r w:rsidRPr="00440FD4">
        <w:rPr>
          <w:rFonts w:ascii="Futura LT W01 Book" w:eastAsia="Times New Roman" w:hAnsi="Futura LT W01 Book" w:cs="Times New Roman"/>
          <w:sz w:val="21"/>
          <w:szCs w:val="21"/>
        </w:rPr>
        <w:t>, in particular, things</w:t>
      </w:r>
      <w:proofErr w:type="gramEnd"/>
      <w:r w:rsidRPr="00440FD4">
        <w:rPr>
          <w:rFonts w:ascii="Futura LT W01 Book" w:eastAsia="Times New Roman" w:hAnsi="Futura LT W01 Book" w:cs="Times New Roman"/>
          <w:sz w:val="21"/>
          <w:szCs w:val="21"/>
        </w:rPr>
        <w:t xml:space="preserve"> seemed to accelerate with lightning speed. Sometimes, I was clairvoyant, reading that market crystal ball like a road map, and sometimes, well, let’s just say that we adapted. </w:t>
      </w:r>
    </w:p>
    <w:p w:rsidR="00440FD4" w:rsidRPr="00440FD4" w:rsidRDefault="00440FD4" w:rsidP="00440FD4">
      <w:pPr>
        <w:spacing w:after="300" w:line="240" w:lineRule="auto"/>
        <w:rPr>
          <w:rFonts w:ascii="Futura LT W01 Book" w:eastAsia="Times New Roman" w:hAnsi="Futura LT W01 Book" w:cs="Times New Roman"/>
          <w:sz w:val="21"/>
          <w:szCs w:val="21"/>
        </w:rPr>
      </w:pPr>
      <w:r w:rsidRPr="00440FD4">
        <w:rPr>
          <w:rFonts w:ascii="Futura LT W01 Book" w:eastAsia="Times New Roman" w:hAnsi="Futura LT W01 Book" w:cs="Times New Roman"/>
          <w:sz w:val="21"/>
          <w:szCs w:val="21"/>
        </w:rPr>
        <w:t xml:space="preserve">In our industry, that ability to adapt and change is what sets us apart and drives bank growth. But change can be hard; how do we know </w:t>
      </w:r>
      <w:r w:rsidRPr="00440FD4">
        <w:rPr>
          <w:rFonts w:ascii="Futura LT W01 Book" w:eastAsia="Times New Roman" w:hAnsi="Futura LT W01 Book" w:cs="Times New Roman"/>
          <w:i/>
          <w:iCs/>
          <w:sz w:val="21"/>
          <w:szCs w:val="21"/>
        </w:rPr>
        <w:t>how</w:t>
      </w:r>
      <w:r w:rsidRPr="00440FD4">
        <w:rPr>
          <w:rFonts w:ascii="Futura LT W01 Book" w:eastAsia="Times New Roman" w:hAnsi="Futura LT W01 Book" w:cs="Times New Roman"/>
          <w:sz w:val="21"/>
          <w:szCs w:val="21"/>
        </w:rPr>
        <w:t xml:space="preserve"> to change, let alone </w:t>
      </w:r>
      <w:r w:rsidRPr="00440FD4">
        <w:rPr>
          <w:rFonts w:ascii="Futura LT W01 Book" w:eastAsia="Times New Roman" w:hAnsi="Futura LT W01 Book" w:cs="Times New Roman"/>
          <w:i/>
          <w:iCs/>
          <w:sz w:val="21"/>
          <w:szCs w:val="21"/>
        </w:rPr>
        <w:t>when</w:t>
      </w:r>
      <w:r w:rsidRPr="00440FD4">
        <w:rPr>
          <w:rFonts w:ascii="Futura LT W01 Book" w:eastAsia="Times New Roman" w:hAnsi="Futura LT W01 Book" w:cs="Times New Roman"/>
          <w:sz w:val="21"/>
          <w:szCs w:val="21"/>
        </w:rPr>
        <w:t xml:space="preserve"> to change? </w:t>
      </w:r>
    </w:p>
    <w:p w:rsidR="00440FD4" w:rsidRPr="00440FD4" w:rsidRDefault="00440FD4" w:rsidP="00440FD4">
      <w:pPr>
        <w:spacing w:after="300" w:line="240" w:lineRule="auto"/>
        <w:rPr>
          <w:rFonts w:ascii="Futura LT W01 Book" w:eastAsia="Times New Roman" w:hAnsi="Futura LT W01 Book" w:cs="Times New Roman"/>
          <w:sz w:val="21"/>
          <w:szCs w:val="21"/>
        </w:rPr>
      </w:pPr>
      <w:r w:rsidRPr="00440FD4">
        <w:rPr>
          <w:rFonts w:ascii="Futura LT W01 Book" w:eastAsia="Times New Roman" w:hAnsi="Futura LT W01 Book" w:cs="Times New Roman"/>
          <w:sz w:val="21"/>
          <w:szCs w:val="21"/>
        </w:rPr>
        <w:t xml:space="preserve">No one has definitive answers to those questions, but I can tell you from personal experience that staying on top of industry developments made me </w:t>
      </w:r>
      <w:proofErr w:type="gramStart"/>
      <w:r w:rsidRPr="00440FD4">
        <w:rPr>
          <w:rFonts w:ascii="Futura LT W01 Book" w:eastAsia="Times New Roman" w:hAnsi="Futura LT W01 Book" w:cs="Times New Roman"/>
          <w:sz w:val="21"/>
          <w:szCs w:val="21"/>
        </w:rPr>
        <w:t>more nimble</w:t>
      </w:r>
      <w:proofErr w:type="gramEnd"/>
      <w:r w:rsidRPr="00440FD4">
        <w:rPr>
          <w:rFonts w:ascii="Futura LT W01 Book" w:eastAsia="Times New Roman" w:hAnsi="Futura LT W01 Book" w:cs="Times New Roman"/>
          <w:sz w:val="21"/>
          <w:szCs w:val="21"/>
        </w:rPr>
        <w:t xml:space="preserve"> and gave me the courage to take calculated risks. I invested in my professional development to benefit me, but ultimately, also to benefit my bank. And this investment paid off, both in my career trajectory and in the bank’s offerings.</w:t>
      </w:r>
    </w:p>
    <w:p w:rsidR="00440FD4" w:rsidRPr="00440FD4" w:rsidRDefault="00440FD4" w:rsidP="00440FD4">
      <w:pPr>
        <w:spacing w:after="300" w:line="240" w:lineRule="auto"/>
        <w:rPr>
          <w:rFonts w:ascii="Futura LT W01 Book" w:eastAsia="Times New Roman" w:hAnsi="Futura LT W01 Book" w:cs="Times New Roman"/>
          <w:sz w:val="21"/>
          <w:szCs w:val="21"/>
        </w:rPr>
      </w:pPr>
      <w:r w:rsidRPr="00440FD4">
        <w:rPr>
          <w:rFonts w:ascii="Futura LT W01 Book" w:eastAsia="Times New Roman" w:hAnsi="Futura LT W01 Book" w:cs="Times New Roman"/>
          <w:sz w:val="21"/>
          <w:szCs w:val="21"/>
        </w:rPr>
        <w:t xml:space="preserve">As I think back, there were a few key things I did that made all the difference. With that in mind, I’ve assembled a short list of development opportunities that may give you the same leg up and support you as you navigate this new world of digital payments.   </w:t>
      </w:r>
    </w:p>
    <w:p w:rsidR="00440FD4" w:rsidRPr="00440FD4" w:rsidRDefault="00440FD4" w:rsidP="00440FD4">
      <w:pPr>
        <w:numPr>
          <w:ilvl w:val="1"/>
          <w:numId w:val="1"/>
        </w:numPr>
        <w:spacing w:after="0" w:line="240" w:lineRule="auto"/>
        <w:ind w:left="720"/>
        <w:rPr>
          <w:rFonts w:ascii="Futura LT W01 Book" w:eastAsia="Times New Roman" w:hAnsi="Futura LT W01 Book" w:cs="Times New Roman"/>
          <w:sz w:val="21"/>
          <w:szCs w:val="21"/>
        </w:rPr>
      </w:pPr>
      <w:r w:rsidRPr="00440FD4">
        <w:rPr>
          <w:rFonts w:ascii="Futura LT W01 Book" w:eastAsia="Times New Roman" w:hAnsi="Futura LT W01 Book" w:cs="Times New Roman"/>
          <w:b/>
          <w:bCs/>
          <w:sz w:val="21"/>
          <w:szCs w:val="21"/>
        </w:rPr>
        <w:t>Find a mentor.</w:t>
      </w:r>
      <w:r w:rsidRPr="00440FD4">
        <w:rPr>
          <w:rFonts w:ascii="Futura LT W01 Book" w:eastAsia="Times New Roman" w:hAnsi="Futura LT W01 Book" w:cs="Times New Roman"/>
          <w:sz w:val="21"/>
          <w:szCs w:val="21"/>
        </w:rPr>
        <w:t xml:space="preserve"> I’m a big believer in learning from others. Having a mentor to brainstorm ideas with opens many channels and helps you see the world from varying perspectives. So, </w:t>
      </w:r>
      <w:proofErr w:type="gramStart"/>
      <w:r w:rsidRPr="00440FD4">
        <w:rPr>
          <w:rFonts w:ascii="Futura LT W01 Book" w:eastAsia="Times New Roman" w:hAnsi="Futura LT W01 Book" w:cs="Times New Roman"/>
          <w:sz w:val="21"/>
          <w:szCs w:val="21"/>
        </w:rPr>
        <w:t>take a look</w:t>
      </w:r>
      <w:proofErr w:type="gramEnd"/>
      <w:r w:rsidRPr="00440FD4">
        <w:rPr>
          <w:rFonts w:ascii="Futura LT W01 Book" w:eastAsia="Times New Roman" w:hAnsi="Futura LT W01 Book" w:cs="Times New Roman"/>
          <w:sz w:val="21"/>
          <w:szCs w:val="21"/>
        </w:rPr>
        <w:t xml:space="preserve"> back at your career and seek out your best leaders. Introduce yourself to others who share original perspectives at conferences. </w:t>
      </w:r>
      <w:hyperlink r:id="rId5" w:history="1">
        <w:r w:rsidRPr="00440FD4">
          <w:rPr>
            <w:rFonts w:ascii="Futura LT W01 Book" w:eastAsia="Times New Roman" w:hAnsi="Futura LT W01 Book" w:cs="Times New Roman"/>
            <w:color w:val="0065C8"/>
            <w:sz w:val="21"/>
            <w:szCs w:val="21"/>
          </w:rPr>
          <w:t>Reach out to professional organizations like ICBA</w:t>
        </w:r>
      </w:hyperlink>
      <w:r w:rsidRPr="00440FD4">
        <w:rPr>
          <w:rFonts w:ascii="Futura LT W01 Book" w:eastAsia="Times New Roman" w:hAnsi="Futura LT W01 Book" w:cs="Times New Roman"/>
          <w:sz w:val="21"/>
          <w:szCs w:val="21"/>
        </w:rPr>
        <w:t xml:space="preserve">. Do what it takes to find a trusted advisor who can help you to process ideas. </w:t>
      </w:r>
    </w:p>
    <w:p w:rsidR="00440FD4" w:rsidRPr="00440FD4" w:rsidRDefault="00440FD4" w:rsidP="00440FD4">
      <w:pPr>
        <w:numPr>
          <w:ilvl w:val="1"/>
          <w:numId w:val="1"/>
        </w:numPr>
        <w:spacing w:after="0" w:line="240" w:lineRule="auto"/>
        <w:ind w:left="720"/>
        <w:rPr>
          <w:rFonts w:ascii="Futura LT W01 Book" w:eastAsia="Times New Roman" w:hAnsi="Futura LT W01 Book" w:cs="Times New Roman"/>
          <w:sz w:val="21"/>
          <w:szCs w:val="21"/>
        </w:rPr>
      </w:pPr>
      <w:r w:rsidRPr="00440FD4">
        <w:rPr>
          <w:rFonts w:ascii="Futura LT W01 Book" w:eastAsia="Times New Roman" w:hAnsi="Futura LT W01 Book" w:cs="Times New Roman"/>
          <w:b/>
          <w:bCs/>
          <w:sz w:val="21"/>
          <w:szCs w:val="21"/>
        </w:rPr>
        <w:t>Learn more and get involved.</w:t>
      </w:r>
      <w:r w:rsidRPr="00440FD4">
        <w:rPr>
          <w:rFonts w:ascii="Futura LT W01 Book" w:eastAsia="Times New Roman" w:hAnsi="Futura LT W01 Book" w:cs="Times New Roman"/>
          <w:sz w:val="21"/>
          <w:szCs w:val="21"/>
        </w:rPr>
        <w:t xml:space="preserve"> With such rapid change in the industry, you need a resource who can give you a quick version of what’s most important. </w:t>
      </w:r>
      <w:hyperlink r:id="rId6" w:history="1">
        <w:r w:rsidRPr="00440FD4">
          <w:rPr>
            <w:rFonts w:ascii="Futura LT W01 Book" w:eastAsia="Times New Roman" w:hAnsi="Futura LT W01 Book" w:cs="Times New Roman"/>
            <w:color w:val="0065C8"/>
            <w:sz w:val="21"/>
            <w:szCs w:val="21"/>
          </w:rPr>
          <w:t>Regional Payments Associations</w:t>
        </w:r>
      </w:hyperlink>
      <w:r w:rsidRPr="00440FD4">
        <w:rPr>
          <w:rFonts w:ascii="Futura LT W01 Book" w:eastAsia="Times New Roman" w:hAnsi="Futura LT W01 Book" w:cs="Times New Roman"/>
          <w:sz w:val="21"/>
          <w:szCs w:val="21"/>
        </w:rPr>
        <w:t xml:space="preserve"> (RPAs) offer this knowledge and can keep you apprised of the most relevant changes for your institution. In addition, there are numerous volunteer opportunities with RPAs that help you grow as a leader. </w:t>
      </w:r>
    </w:p>
    <w:p w:rsidR="00440FD4" w:rsidRPr="00440FD4" w:rsidRDefault="00440FD4" w:rsidP="00440FD4">
      <w:pPr>
        <w:numPr>
          <w:ilvl w:val="1"/>
          <w:numId w:val="1"/>
        </w:numPr>
        <w:spacing w:after="0" w:line="240" w:lineRule="auto"/>
        <w:ind w:left="720"/>
        <w:rPr>
          <w:rFonts w:ascii="Futura LT W01 Book" w:eastAsia="Times New Roman" w:hAnsi="Futura LT W01 Book" w:cs="Times New Roman"/>
          <w:sz w:val="21"/>
          <w:szCs w:val="21"/>
        </w:rPr>
      </w:pPr>
      <w:r w:rsidRPr="00440FD4">
        <w:rPr>
          <w:rFonts w:ascii="Futura LT W01 Book" w:eastAsia="Times New Roman" w:hAnsi="Futura LT W01 Book" w:cs="Times New Roman"/>
          <w:b/>
          <w:bCs/>
          <w:sz w:val="21"/>
          <w:szCs w:val="21"/>
        </w:rPr>
        <w:t>Join the FS-ISAC Community Institution Council.</w:t>
      </w:r>
      <w:r w:rsidRPr="00440FD4">
        <w:rPr>
          <w:rFonts w:ascii="Futura LT W01 Book" w:eastAsia="Times New Roman" w:hAnsi="Futura LT W01 Book" w:cs="Times New Roman"/>
          <w:sz w:val="21"/>
          <w:szCs w:val="21"/>
        </w:rPr>
        <w:t xml:space="preserve"> Having the right information is critical when developing business strategies, particularly when it comes to risk and fraud. To that point, it makes sense to consider joining your peers on </w:t>
      </w:r>
      <w:hyperlink r:id="rId7" w:history="1">
        <w:r w:rsidRPr="00440FD4">
          <w:rPr>
            <w:rFonts w:ascii="Futura LT W01 Book" w:eastAsia="Times New Roman" w:hAnsi="Futura LT W01 Book" w:cs="Times New Roman"/>
            <w:color w:val="0065C8"/>
            <w:sz w:val="21"/>
            <w:szCs w:val="21"/>
          </w:rPr>
          <w:t>FS-ISAC’s Community Institution Council</w:t>
        </w:r>
      </w:hyperlink>
      <w:r w:rsidRPr="00440FD4">
        <w:rPr>
          <w:rFonts w:ascii="Futura LT W01 Book" w:eastAsia="Times New Roman" w:hAnsi="Futura LT W01 Book" w:cs="Times New Roman"/>
          <w:sz w:val="21"/>
          <w:szCs w:val="21"/>
        </w:rPr>
        <w:t xml:space="preserve"> where key topics include: attacks and technology issues, regulatory changes, changes to examination processes, and peer comparisons on topics of interest.</w:t>
      </w:r>
    </w:p>
    <w:p w:rsidR="00440FD4" w:rsidRPr="00440FD4" w:rsidRDefault="00440FD4" w:rsidP="00440FD4">
      <w:pPr>
        <w:numPr>
          <w:ilvl w:val="1"/>
          <w:numId w:val="1"/>
        </w:numPr>
        <w:spacing w:after="0" w:line="240" w:lineRule="auto"/>
        <w:ind w:left="720"/>
        <w:rPr>
          <w:rFonts w:ascii="Futura LT W01 Book" w:eastAsia="Times New Roman" w:hAnsi="Futura LT W01 Book" w:cs="Times New Roman"/>
          <w:sz w:val="21"/>
          <w:szCs w:val="21"/>
        </w:rPr>
      </w:pPr>
      <w:r w:rsidRPr="00440FD4">
        <w:rPr>
          <w:rFonts w:ascii="Futura LT W01 Book" w:eastAsia="Times New Roman" w:hAnsi="Futura LT W01 Book" w:cs="Times New Roman"/>
          <w:b/>
          <w:bCs/>
          <w:sz w:val="21"/>
          <w:szCs w:val="21"/>
        </w:rPr>
        <w:t xml:space="preserve">Explore continuing education and certification programs. </w:t>
      </w:r>
      <w:r w:rsidRPr="00440FD4">
        <w:rPr>
          <w:rFonts w:ascii="Futura LT W01 Book" w:eastAsia="Times New Roman" w:hAnsi="Futura LT W01 Book" w:cs="Times New Roman"/>
          <w:sz w:val="21"/>
          <w:szCs w:val="21"/>
        </w:rPr>
        <w:t xml:space="preserve">Investigate </w:t>
      </w:r>
      <w:hyperlink r:id="rId8" w:history="1">
        <w:r w:rsidRPr="00440FD4">
          <w:rPr>
            <w:rFonts w:ascii="Futura LT W01 Book" w:eastAsia="Times New Roman" w:hAnsi="Futura LT W01 Book" w:cs="Times New Roman"/>
            <w:color w:val="0065C8"/>
            <w:sz w:val="21"/>
            <w:szCs w:val="21"/>
          </w:rPr>
          <w:t>The Payments Institute</w:t>
        </w:r>
      </w:hyperlink>
      <w:r w:rsidRPr="00440FD4">
        <w:rPr>
          <w:rFonts w:ascii="Futura LT W01 Book" w:eastAsia="Times New Roman" w:hAnsi="Futura LT W01 Book" w:cs="Times New Roman"/>
          <w:sz w:val="21"/>
          <w:szCs w:val="21"/>
        </w:rPr>
        <w:t xml:space="preserve">; it offers an in-depth look at payments today. In addition, NACHA and the RPAs offer the </w:t>
      </w:r>
      <w:hyperlink r:id="rId9" w:history="1">
        <w:r w:rsidRPr="00440FD4">
          <w:rPr>
            <w:rFonts w:ascii="Futura LT W01 Book" w:eastAsia="Times New Roman" w:hAnsi="Futura LT W01 Book" w:cs="Times New Roman"/>
            <w:color w:val="0065C8"/>
            <w:sz w:val="21"/>
            <w:szCs w:val="21"/>
          </w:rPr>
          <w:t>Accredited ACH Professional (AAP)</w:t>
        </w:r>
      </w:hyperlink>
      <w:r w:rsidRPr="00440FD4">
        <w:rPr>
          <w:rFonts w:ascii="Futura LT W01 Book" w:eastAsia="Times New Roman" w:hAnsi="Futura LT W01 Book" w:cs="Times New Roman"/>
          <w:sz w:val="21"/>
          <w:szCs w:val="21"/>
        </w:rPr>
        <w:t xml:space="preserve"> and the </w:t>
      </w:r>
      <w:hyperlink r:id="rId10" w:history="1">
        <w:r w:rsidRPr="00440FD4">
          <w:rPr>
            <w:rFonts w:ascii="Futura LT W01 Book" w:eastAsia="Times New Roman" w:hAnsi="Futura LT W01 Book" w:cs="Times New Roman"/>
            <w:color w:val="0065C8"/>
            <w:sz w:val="21"/>
            <w:szCs w:val="21"/>
          </w:rPr>
          <w:t>Accredited Payments Risk Professional (APRP)</w:t>
        </w:r>
      </w:hyperlink>
      <w:r w:rsidRPr="00440FD4">
        <w:rPr>
          <w:rFonts w:ascii="Futura LT W01 Book" w:eastAsia="Times New Roman" w:hAnsi="Futura LT W01 Book" w:cs="Times New Roman"/>
          <w:sz w:val="21"/>
          <w:szCs w:val="21"/>
        </w:rPr>
        <w:t xml:space="preserve"> certifications for expert-level knowledge. ICBA’s own Community Banker University offers numerous online classes and workshops on a variety of topics throughout the year. </w:t>
      </w:r>
    </w:p>
    <w:p w:rsidR="00440FD4" w:rsidRPr="00440FD4" w:rsidRDefault="00440FD4" w:rsidP="00440FD4">
      <w:pPr>
        <w:numPr>
          <w:ilvl w:val="1"/>
          <w:numId w:val="1"/>
        </w:numPr>
        <w:spacing w:after="0" w:line="240" w:lineRule="auto"/>
        <w:ind w:left="720"/>
        <w:rPr>
          <w:rFonts w:ascii="Futura LT W01 Book" w:eastAsia="Times New Roman" w:hAnsi="Futura LT W01 Book" w:cs="Times New Roman"/>
          <w:sz w:val="21"/>
          <w:szCs w:val="21"/>
        </w:rPr>
      </w:pPr>
      <w:bookmarkStart w:id="0" w:name="_GoBack"/>
      <w:r w:rsidRPr="00440FD4">
        <w:rPr>
          <w:rFonts w:ascii="Futura LT W01 Book" w:eastAsia="Times New Roman" w:hAnsi="Futura LT W01 Book" w:cs="Times New Roman"/>
          <w:b/>
          <w:bCs/>
          <w:sz w:val="21"/>
          <w:szCs w:val="21"/>
        </w:rPr>
        <w:t xml:space="preserve">Look to industry leaders for the latest tools and resources in digital payments. </w:t>
      </w:r>
      <w:r w:rsidRPr="00440FD4">
        <w:rPr>
          <w:rFonts w:ascii="Futura LT W01 Book" w:eastAsia="Times New Roman" w:hAnsi="Futura LT W01 Book" w:cs="Times New Roman"/>
          <w:sz w:val="21"/>
          <w:szCs w:val="21"/>
        </w:rPr>
        <w:t xml:space="preserve">Simply </w:t>
      </w:r>
      <w:bookmarkEnd w:id="0"/>
      <w:r w:rsidRPr="00440FD4">
        <w:rPr>
          <w:rFonts w:ascii="Futura LT W01 Book" w:eastAsia="Times New Roman" w:hAnsi="Futura LT W01 Book" w:cs="Times New Roman"/>
          <w:sz w:val="21"/>
          <w:szCs w:val="21"/>
        </w:rPr>
        <w:t xml:space="preserve">staying up-to-date on what’s happening with major payments initiatives will give you insights into market direction. As payments evolve, those responsible for some of the changes offer free tools to support you. Visit the </w:t>
      </w:r>
      <w:hyperlink r:id="rId11" w:history="1">
        <w:r w:rsidRPr="00440FD4">
          <w:rPr>
            <w:rFonts w:ascii="Futura LT W01 Book" w:eastAsia="Times New Roman" w:hAnsi="Futura LT W01 Book" w:cs="Times New Roman"/>
            <w:color w:val="0065C8"/>
            <w:sz w:val="21"/>
            <w:szCs w:val="21"/>
          </w:rPr>
          <w:t>Federal Reserve’s Payments Improvement site</w:t>
        </w:r>
      </w:hyperlink>
      <w:r w:rsidRPr="00440FD4">
        <w:rPr>
          <w:rFonts w:ascii="Futura LT W01 Book" w:eastAsia="Times New Roman" w:hAnsi="Futura LT W01 Book" w:cs="Times New Roman"/>
          <w:sz w:val="21"/>
          <w:szCs w:val="21"/>
        </w:rPr>
        <w:t xml:space="preserve">, </w:t>
      </w:r>
      <w:hyperlink r:id="rId12" w:history="1">
        <w:r w:rsidRPr="00440FD4">
          <w:rPr>
            <w:rFonts w:ascii="Futura LT W01 Book" w:eastAsia="Times New Roman" w:hAnsi="Futura LT W01 Book" w:cs="Times New Roman"/>
            <w:color w:val="0065C8"/>
            <w:sz w:val="21"/>
            <w:szCs w:val="21"/>
          </w:rPr>
          <w:t>NACHA’s Same Day ACH Resource Center</w:t>
        </w:r>
      </w:hyperlink>
      <w:r w:rsidRPr="00440FD4">
        <w:rPr>
          <w:rFonts w:ascii="Futura LT W01 Book" w:eastAsia="Times New Roman" w:hAnsi="Futura LT W01 Book" w:cs="Times New Roman"/>
          <w:sz w:val="21"/>
          <w:szCs w:val="21"/>
        </w:rPr>
        <w:t xml:space="preserve">, and </w:t>
      </w:r>
      <w:hyperlink r:id="rId13" w:history="1">
        <w:r w:rsidRPr="00440FD4">
          <w:rPr>
            <w:rFonts w:ascii="Futura LT W01 Book" w:eastAsia="Times New Roman" w:hAnsi="Futura LT W01 Book" w:cs="Times New Roman"/>
            <w:color w:val="0065C8"/>
            <w:sz w:val="21"/>
            <w:szCs w:val="21"/>
          </w:rPr>
          <w:t>The Clearing House’s Real-Time Payments site</w:t>
        </w:r>
      </w:hyperlink>
      <w:r w:rsidRPr="00440FD4">
        <w:rPr>
          <w:rFonts w:ascii="Futura LT W01 Book" w:eastAsia="Times New Roman" w:hAnsi="Futura LT W01 Book" w:cs="Times New Roman"/>
          <w:sz w:val="21"/>
          <w:szCs w:val="21"/>
        </w:rPr>
        <w:t xml:space="preserve"> for more information. For other topics, your RPA also can be a great source of support. </w:t>
      </w:r>
    </w:p>
    <w:p w:rsidR="00440FD4" w:rsidRPr="00440FD4" w:rsidRDefault="00440FD4" w:rsidP="00440FD4">
      <w:pPr>
        <w:numPr>
          <w:ilvl w:val="1"/>
          <w:numId w:val="1"/>
        </w:numPr>
        <w:spacing w:after="0" w:line="240" w:lineRule="auto"/>
        <w:ind w:left="720"/>
        <w:rPr>
          <w:rFonts w:ascii="Futura LT W01 Book" w:eastAsia="Times New Roman" w:hAnsi="Futura LT W01 Book" w:cs="Times New Roman"/>
          <w:sz w:val="21"/>
          <w:szCs w:val="21"/>
        </w:rPr>
      </w:pPr>
      <w:r w:rsidRPr="00440FD4">
        <w:rPr>
          <w:rFonts w:ascii="Futura LT W01 Book" w:eastAsia="Times New Roman" w:hAnsi="Futura LT W01 Book" w:cs="Times New Roman"/>
          <w:b/>
          <w:bCs/>
          <w:sz w:val="21"/>
          <w:szCs w:val="21"/>
        </w:rPr>
        <w:t xml:space="preserve">Check in with the ICBA Bancard team. </w:t>
      </w:r>
      <w:r w:rsidRPr="00440FD4">
        <w:rPr>
          <w:rFonts w:ascii="Futura LT W01 Book" w:eastAsia="Times New Roman" w:hAnsi="Futura LT W01 Book" w:cs="Times New Roman"/>
          <w:sz w:val="21"/>
          <w:szCs w:val="21"/>
        </w:rPr>
        <w:t xml:space="preserve">As a former community banker, I understand the unique position you’re in and can offer tips on things that worked for me. We also have numerous payments experts on staff who bring years of knowledge to the table and are happy to share their thoughts as well. </w:t>
      </w:r>
      <w:hyperlink r:id="rId14" w:history="1">
        <w:r w:rsidRPr="00440FD4">
          <w:rPr>
            <w:rFonts w:ascii="Futura LT W01 Book" w:eastAsia="Times New Roman" w:hAnsi="Futura LT W01 Book" w:cs="Times New Roman"/>
            <w:color w:val="0065C8"/>
            <w:sz w:val="21"/>
            <w:szCs w:val="21"/>
          </w:rPr>
          <w:t xml:space="preserve">Contact us </w:t>
        </w:r>
      </w:hyperlink>
      <w:r w:rsidRPr="00440FD4">
        <w:rPr>
          <w:rFonts w:ascii="Futura LT W01 Book" w:eastAsia="Times New Roman" w:hAnsi="Futura LT W01 Book" w:cs="Times New Roman"/>
          <w:sz w:val="21"/>
          <w:szCs w:val="21"/>
        </w:rPr>
        <w:t xml:space="preserve">anytime and follow me on Twitter </w:t>
      </w:r>
      <w:hyperlink r:id="rId15" w:history="1">
        <w:r w:rsidRPr="00440FD4">
          <w:rPr>
            <w:rFonts w:ascii="Futura LT W01 Book" w:eastAsia="Times New Roman" w:hAnsi="Futura LT W01 Book" w:cs="Times New Roman"/>
            <w:color w:val="0065C8"/>
            <w:sz w:val="21"/>
            <w:szCs w:val="21"/>
          </w:rPr>
          <w:t>@</w:t>
        </w:r>
        <w:proofErr w:type="spellStart"/>
        <w:r w:rsidRPr="00440FD4">
          <w:rPr>
            <w:rFonts w:ascii="Futura LT W01 Book" w:eastAsia="Times New Roman" w:hAnsi="Futura LT W01 Book" w:cs="Times New Roman"/>
            <w:color w:val="0065C8"/>
            <w:sz w:val="21"/>
            <w:szCs w:val="21"/>
          </w:rPr>
          <w:t>tnagiorgio</w:t>
        </w:r>
        <w:proofErr w:type="spellEnd"/>
      </w:hyperlink>
      <w:r w:rsidRPr="00440FD4">
        <w:rPr>
          <w:rFonts w:ascii="Futura LT W01 Book" w:eastAsia="Times New Roman" w:hAnsi="Futura LT W01 Book" w:cs="Times New Roman"/>
          <w:sz w:val="21"/>
          <w:szCs w:val="21"/>
        </w:rPr>
        <w:t>.</w:t>
      </w:r>
    </w:p>
    <w:p w:rsidR="00440FD4" w:rsidRDefault="00440FD4" w:rsidP="00440FD4">
      <w:pPr>
        <w:spacing w:line="240" w:lineRule="auto"/>
        <w:rPr>
          <w:rFonts w:ascii="Futura LT W01 Book" w:eastAsia="Times New Roman" w:hAnsi="Futura LT W01 Book" w:cs="Times New Roman"/>
          <w:sz w:val="21"/>
          <w:szCs w:val="21"/>
        </w:rPr>
      </w:pPr>
    </w:p>
    <w:p w:rsidR="00440FD4" w:rsidRPr="00440FD4" w:rsidRDefault="00440FD4" w:rsidP="00440FD4">
      <w:pPr>
        <w:spacing w:line="240" w:lineRule="auto"/>
        <w:rPr>
          <w:rFonts w:ascii="Futura LT W01 Book" w:eastAsia="Times New Roman" w:hAnsi="Futura LT W01 Book" w:cs="Times New Roman"/>
          <w:sz w:val="21"/>
          <w:szCs w:val="21"/>
        </w:rPr>
      </w:pPr>
      <w:r w:rsidRPr="00440FD4">
        <w:rPr>
          <w:rFonts w:ascii="Futura LT W01 Book" w:eastAsia="Times New Roman" w:hAnsi="Futura LT W01 Book" w:cs="Times New Roman"/>
          <w:sz w:val="21"/>
          <w:szCs w:val="21"/>
        </w:rPr>
        <w:t xml:space="preserve">With a wealth of resources, there’s no shortage of opportunity, just time to accomplish it all. So, as 2017 reflection gives way to 2018 goal-setting, I hope you can use these ideas to determine what aligns best with your professional development plan. Based on my experience, committing to doing just one new thing will have a profound impact. </w:t>
      </w:r>
    </w:p>
    <w:p w:rsidR="00A5135F" w:rsidRDefault="00A5135F"/>
    <w:sectPr w:rsidR="00A51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 LT W01 Medium Condensed">
    <w:altName w:val="Century Gothic"/>
    <w:charset w:val="00"/>
    <w:family w:val="auto"/>
    <w:pitch w:val="default"/>
  </w:font>
  <w:font w:name="Futura LT W01 Book">
    <w:altName w:val="Century Gothic"/>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D74"/>
    <w:multiLevelType w:val="multilevel"/>
    <w:tmpl w:val="9B186C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D4"/>
    <w:rsid w:val="001420F3"/>
    <w:rsid w:val="004259B9"/>
    <w:rsid w:val="00437AB3"/>
    <w:rsid w:val="00440FD4"/>
    <w:rsid w:val="004421DF"/>
    <w:rsid w:val="007436B8"/>
    <w:rsid w:val="00A5135F"/>
    <w:rsid w:val="00CD4B7D"/>
    <w:rsid w:val="00DD3B89"/>
    <w:rsid w:val="00E74ACB"/>
    <w:rsid w:val="00E9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5706"/>
  <w15:chartTrackingRefBased/>
  <w15:docId w15:val="{48447257-8D40-4D1E-B1CB-D86EADF8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92926">
      <w:bodyDiv w:val="1"/>
      <w:marLeft w:val="0"/>
      <w:marRight w:val="0"/>
      <w:marTop w:val="0"/>
      <w:marBottom w:val="0"/>
      <w:divBdr>
        <w:top w:val="none" w:sz="0" w:space="0" w:color="auto"/>
        <w:left w:val="none" w:sz="0" w:space="0" w:color="auto"/>
        <w:bottom w:val="none" w:sz="0" w:space="0" w:color="auto"/>
        <w:right w:val="none" w:sz="0" w:space="0" w:color="auto"/>
      </w:divBdr>
      <w:divsChild>
        <w:div w:id="1806507912">
          <w:marLeft w:val="0"/>
          <w:marRight w:val="0"/>
          <w:marTop w:val="0"/>
          <w:marBottom w:val="0"/>
          <w:divBdr>
            <w:top w:val="none" w:sz="0" w:space="0" w:color="auto"/>
            <w:left w:val="none" w:sz="0" w:space="0" w:color="auto"/>
            <w:bottom w:val="none" w:sz="0" w:space="0" w:color="auto"/>
            <w:right w:val="none" w:sz="0" w:space="0" w:color="auto"/>
          </w:divBdr>
          <w:divsChild>
            <w:div w:id="1596552790">
              <w:marLeft w:val="0"/>
              <w:marRight w:val="0"/>
              <w:marTop w:val="0"/>
              <w:marBottom w:val="0"/>
              <w:divBdr>
                <w:top w:val="none" w:sz="0" w:space="0" w:color="auto"/>
                <w:left w:val="none" w:sz="0" w:space="0" w:color="auto"/>
                <w:bottom w:val="none" w:sz="0" w:space="0" w:color="auto"/>
                <w:right w:val="none" w:sz="0" w:space="0" w:color="auto"/>
              </w:divBdr>
              <w:divsChild>
                <w:div w:id="1112170939">
                  <w:marLeft w:val="-4950"/>
                  <w:marRight w:val="0"/>
                  <w:marTop w:val="0"/>
                  <w:marBottom w:val="480"/>
                  <w:divBdr>
                    <w:top w:val="none" w:sz="0" w:space="0" w:color="auto"/>
                    <w:left w:val="none" w:sz="0" w:space="0" w:color="auto"/>
                    <w:bottom w:val="none" w:sz="0" w:space="0" w:color="auto"/>
                    <w:right w:val="none" w:sz="0" w:space="0" w:color="auto"/>
                  </w:divBdr>
                  <w:divsChild>
                    <w:div w:id="12390449">
                      <w:marLeft w:val="4950"/>
                      <w:marRight w:val="0"/>
                      <w:marTop w:val="0"/>
                      <w:marBottom w:val="0"/>
                      <w:divBdr>
                        <w:top w:val="none" w:sz="0" w:space="0" w:color="auto"/>
                        <w:left w:val="none" w:sz="0" w:space="0" w:color="auto"/>
                        <w:bottom w:val="none" w:sz="0" w:space="0" w:color="auto"/>
                        <w:right w:val="none" w:sz="0" w:space="0" w:color="auto"/>
                      </w:divBdr>
                      <w:divsChild>
                        <w:div w:id="1414932139">
                          <w:marLeft w:val="0"/>
                          <w:marRight w:val="0"/>
                          <w:marTop w:val="0"/>
                          <w:marBottom w:val="0"/>
                          <w:divBdr>
                            <w:top w:val="none" w:sz="0" w:space="0" w:color="auto"/>
                            <w:left w:val="none" w:sz="0" w:space="0" w:color="auto"/>
                            <w:bottom w:val="none" w:sz="0" w:space="0" w:color="auto"/>
                            <w:right w:val="none" w:sz="0" w:space="0" w:color="auto"/>
                          </w:divBdr>
                          <w:divsChild>
                            <w:div w:id="1217157946">
                              <w:marLeft w:val="0"/>
                              <w:marRight w:val="0"/>
                              <w:marTop w:val="0"/>
                              <w:marBottom w:val="0"/>
                              <w:divBdr>
                                <w:top w:val="none" w:sz="0" w:space="0" w:color="auto"/>
                                <w:left w:val="none" w:sz="0" w:space="0" w:color="auto"/>
                                <w:bottom w:val="none" w:sz="0" w:space="0" w:color="auto"/>
                                <w:right w:val="none" w:sz="0" w:space="0" w:color="auto"/>
                              </w:divBdr>
                              <w:divsChild>
                                <w:div w:id="902759873">
                                  <w:marLeft w:val="0"/>
                                  <w:marRight w:val="0"/>
                                  <w:marTop w:val="0"/>
                                  <w:marBottom w:val="0"/>
                                  <w:divBdr>
                                    <w:top w:val="none" w:sz="0" w:space="0" w:color="auto"/>
                                    <w:left w:val="none" w:sz="0" w:space="0" w:color="auto"/>
                                    <w:bottom w:val="none" w:sz="0" w:space="0" w:color="auto"/>
                                    <w:right w:val="none" w:sz="0" w:space="0" w:color="auto"/>
                                  </w:divBdr>
                                  <w:divsChild>
                                    <w:div w:id="1392385017">
                                      <w:marLeft w:val="0"/>
                                      <w:marRight w:val="0"/>
                                      <w:marTop w:val="0"/>
                                      <w:marBottom w:val="0"/>
                                      <w:divBdr>
                                        <w:top w:val="none" w:sz="0" w:space="0" w:color="auto"/>
                                        <w:left w:val="none" w:sz="0" w:space="0" w:color="auto"/>
                                        <w:bottom w:val="none" w:sz="0" w:space="0" w:color="auto"/>
                                        <w:right w:val="none" w:sz="0" w:space="0" w:color="auto"/>
                                      </w:divBdr>
                                      <w:divsChild>
                                        <w:div w:id="1336493858">
                                          <w:marLeft w:val="0"/>
                                          <w:marRight w:val="0"/>
                                          <w:marTop w:val="0"/>
                                          <w:marBottom w:val="0"/>
                                          <w:divBdr>
                                            <w:top w:val="none" w:sz="0" w:space="0" w:color="auto"/>
                                            <w:left w:val="none" w:sz="0" w:space="0" w:color="auto"/>
                                            <w:bottom w:val="none" w:sz="0" w:space="0" w:color="auto"/>
                                            <w:right w:val="none" w:sz="0" w:space="0" w:color="auto"/>
                                          </w:divBdr>
                                        </w:div>
                                        <w:div w:id="1807025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ha.org/events/payments-institute-2018" TargetMode="External"/><Relationship Id="rId13" Type="http://schemas.openxmlformats.org/officeDocument/2006/relationships/hyperlink" Target="https://www.theclearinghouse.org/payments/real-time-payments" TargetMode="External"/><Relationship Id="rId3" Type="http://schemas.openxmlformats.org/officeDocument/2006/relationships/settings" Target="settings.xml"/><Relationship Id="rId7" Type="http://schemas.openxmlformats.org/officeDocument/2006/relationships/hyperlink" Target="https://www.fsisac.com/" TargetMode="External"/><Relationship Id="rId12" Type="http://schemas.openxmlformats.org/officeDocument/2006/relationships/hyperlink" Target="https://resourcecenter.nach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acha.org/members/regional-payments-associations" TargetMode="External"/><Relationship Id="rId11" Type="http://schemas.openxmlformats.org/officeDocument/2006/relationships/hyperlink" Target="https://fedpaymentsimprovement.org/" TargetMode="External"/><Relationship Id="rId5" Type="http://schemas.openxmlformats.org/officeDocument/2006/relationships/hyperlink" Target="http://www.icba.org/about/member-benefits/for-community-banks" TargetMode="External"/><Relationship Id="rId15" Type="http://schemas.openxmlformats.org/officeDocument/2006/relationships/hyperlink" Target="https://twitter.com/tnagiorgio?lang=en" TargetMode="External"/><Relationship Id="rId10" Type="http://schemas.openxmlformats.org/officeDocument/2006/relationships/hyperlink" Target="https://www.nacha.org/aprp" TargetMode="External"/><Relationship Id="rId4" Type="http://schemas.openxmlformats.org/officeDocument/2006/relationships/webSettings" Target="webSettings.xml"/><Relationship Id="rId9" Type="http://schemas.openxmlformats.org/officeDocument/2006/relationships/hyperlink" Target="https://www.nacha.org/events/training/ach-professional" TargetMode="External"/><Relationship Id="rId14" Type="http://schemas.openxmlformats.org/officeDocument/2006/relationships/hyperlink" Target="mailto:bancard@ic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734</Words>
  <Characters>4187</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Are You A Goal Digger? Six Professional Development Ideas for Payments Leaders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Cipriano</dc:creator>
  <cp:keywords/>
  <dc:description/>
  <cp:lastModifiedBy>Audrey Cipriano</cp:lastModifiedBy>
  <cp:revision>1</cp:revision>
  <dcterms:created xsi:type="dcterms:W3CDTF">2017-12-06T15:29:00Z</dcterms:created>
  <dcterms:modified xsi:type="dcterms:W3CDTF">2017-12-06T16:13:00Z</dcterms:modified>
</cp:coreProperties>
</file>